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14" w:rsidRPr="006D7B88" w:rsidRDefault="00434814" w:rsidP="008760B6">
      <w:pPr>
        <w:ind w:right="-55"/>
        <w:jc w:val="center"/>
        <w:rPr>
          <w:rFonts w:ascii="Verdana" w:hAnsi="Verdana"/>
          <w:b/>
          <w:sz w:val="28"/>
          <w:szCs w:val="28"/>
        </w:rPr>
      </w:pPr>
      <w:r w:rsidRPr="006D7B88">
        <w:rPr>
          <w:rFonts w:ascii="Verdana" w:hAnsi="Verdana"/>
          <w:b/>
          <w:sz w:val="28"/>
          <w:szCs w:val="28"/>
        </w:rPr>
        <w:t>Ficha de Información precontractual: FIPRE</w:t>
      </w:r>
    </w:p>
    <w:p w:rsidR="00434814" w:rsidRPr="007E4FFA" w:rsidRDefault="00434814" w:rsidP="008760B6">
      <w:pPr>
        <w:ind w:right="-55"/>
        <w:jc w:val="center"/>
        <w:rPr>
          <w:rFonts w:ascii="Verdana" w:hAnsi="Verdana"/>
          <w:b/>
          <w:sz w:val="28"/>
          <w:szCs w:val="28"/>
        </w:rPr>
      </w:pPr>
      <w:r>
        <w:rPr>
          <w:rFonts w:ascii="Verdana" w:hAnsi="Verdana"/>
          <w:b/>
          <w:sz w:val="28"/>
          <w:szCs w:val="28"/>
        </w:rPr>
        <w:t>PRÉSTAMOS HIPOTECARIOS</w:t>
      </w:r>
    </w:p>
    <w:p w:rsidR="00434814" w:rsidRPr="00034CDD" w:rsidRDefault="00434814" w:rsidP="008760B6">
      <w:pPr>
        <w:ind w:right="-55"/>
        <w:jc w:val="both"/>
        <w:rPr>
          <w:rFonts w:ascii="Verdana" w:hAnsi="Verdana"/>
        </w:rPr>
      </w:pPr>
      <w:r w:rsidRPr="00034CDD">
        <w:rPr>
          <w:rFonts w:ascii="Verdana" w:hAnsi="Verdana"/>
          <w:b/>
        </w:rPr>
        <w:t>El presente documento</w:t>
      </w:r>
      <w:r w:rsidRPr="00034CDD">
        <w:rPr>
          <w:rFonts w:ascii="Verdana" w:hAnsi="Verdana"/>
        </w:rPr>
        <w:t xml:space="preserve"> se extiende el </w:t>
      </w:r>
      <w:r w:rsidRPr="00034CDD">
        <w:rPr>
          <w:rFonts w:ascii="Verdana" w:hAnsi="Verdana"/>
        </w:rPr>
        <w:fldChar w:fldCharType="begin"/>
      </w:r>
      <w:r w:rsidRPr="00034CDD">
        <w:rPr>
          <w:rFonts w:ascii="Verdana" w:hAnsi="Verdana"/>
        </w:rPr>
        <w:instrText xml:space="preserve"> TIME \@ "d/M/yyyy" </w:instrText>
      </w:r>
      <w:r w:rsidRPr="00034CDD">
        <w:rPr>
          <w:rFonts w:ascii="Verdana" w:hAnsi="Verdana"/>
        </w:rPr>
        <w:fldChar w:fldCharType="separate"/>
      </w:r>
      <w:r w:rsidR="003F2179">
        <w:rPr>
          <w:rFonts w:ascii="Verdana" w:hAnsi="Verdana"/>
          <w:noProof/>
        </w:rPr>
        <w:t>7/5/2018</w:t>
      </w:r>
      <w:r w:rsidRPr="00034CDD">
        <w:rPr>
          <w:rFonts w:ascii="Verdana" w:hAnsi="Verdana"/>
        </w:rPr>
        <w:fldChar w:fldCharType="end"/>
      </w:r>
      <w:r w:rsidRPr="00034CDD">
        <w:rPr>
          <w:rFonts w:ascii="Verdana" w:hAnsi="Verdana"/>
        </w:rPr>
        <w:t xml:space="preserve"> en respuesta a su solicitud de información, y </w:t>
      </w:r>
      <w:r w:rsidRPr="00034CDD">
        <w:rPr>
          <w:rFonts w:ascii="Verdana" w:hAnsi="Verdana"/>
          <w:b/>
        </w:rPr>
        <w:t>no conlleva para Caja de Ingenieros la obligación de concederle un préstamo</w:t>
      </w:r>
      <w:r w:rsidRPr="00034CDD">
        <w:rPr>
          <w:rFonts w:ascii="Verdana" w:hAnsi="Verdana"/>
        </w:rPr>
        <w:t>. La información incorporada tiene carácter meramente orientativo.</w:t>
      </w:r>
    </w:p>
    <w:p w:rsidR="00434814" w:rsidRPr="00034CDD" w:rsidRDefault="00434814" w:rsidP="008760B6">
      <w:pPr>
        <w:ind w:right="-55"/>
        <w:jc w:val="both"/>
        <w:rPr>
          <w:rFonts w:ascii="Verdana" w:hAnsi="Verdana"/>
        </w:rPr>
      </w:pPr>
    </w:p>
    <w:p w:rsidR="00434814" w:rsidRPr="00034CDD" w:rsidRDefault="00434814" w:rsidP="008760B6">
      <w:pPr>
        <w:ind w:right="-55"/>
        <w:jc w:val="both"/>
        <w:rPr>
          <w:rFonts w:ascii="Verdana" w:hAnsi="Verdana"/>
        </w:rPr>
      </w:pPr>
      <w:r w:rsidRPr="00034CDD">
        <w:rPr>
          <w:rFonts w:ascii="Verdana" w:hAnsi="Verdana"/>
        </w:rPr>
        <w:t xml:space="preserve">Se ha elaborado basándose en las condiciones actuales del mercado. </w:t>
      </w:r>
      <w:r w:rsidRPr="00034CDD">
        <w:rPr>
          <w:rFonts w:ascii="Verdana" w:hAnsi="Verdana"/>
          <w:b/>
        </w:rPr>
        <w:t>La oferta personalizada posterior puede diferir</w:t>
      </w:r>
      <w:r w:rsidRPr="00034CDD">
        <w:rPr>
          <w:rFonts w:ascii="Verdana" w:hAnsi="Verdana"/>
        </w:rPr>
        <w:t xml:space="preserve"> en función de la variación de dichas condiciones o como resultado de la obtención de la información sobre sus preferencias y condiciones financieras.</w:t>
      </w:r>
    </w:p>
    <w:p w:rsidR="00434814" w:rsidRDefault="003F2179" w:rsidP="008760B6">
      <w:pPr>
        <w:ind w:right="-55"/>
        <w:jc w:val="both"/>
        <w:rPr>
          <w:rFonts w:ascii="Verdana" w:hAnsi="Verdana"/>
        </w:rPr>
      </w:pPr>
      <w:r>
        <w:rPr>
          <w:rFonts w:ascii="Verdana" w:hAnsi="Verdana"/>
          <w:noProof/>
          <w:color w:val="FFFFFF"/>
        </w:rPr>
        <w:pict>
          <v:rect id="_x0000_s1026" style="position:absolute;left:0;text-align:left;margin-left:-1.05pt;margin-top:10.2pt;width:498.75pt;height:18pt;z-index:251659264" fillcolor="#4f81bd">
            <v:textbox>
              <w:txbxContent>
                <w:p w:rsidR="00C90EE5" w:rsidRPr="00750752" w:rsidRDefault="00C90EE5">
                  <w:pPr>
                    <w:rPr>
                      <w:rFonts w:ascii="Verdana" w:hAnsi="Verdana"/>
                      <w:color w:val="FFFFFF"/>
                    </w:rPr>
                  </w:pPr>
                  <w:r w:rsidRPr="00750752">
                    <w:rPr>
                      <w:rFonts w:ascii="Verdana" w:hAnsi="Verdana"/>
                      <w:color w:val="FFFFFF"/>
                    </w:rPr>
                    <w:t>Entidad de Crédito</w:t>
                  </w:r>
                </w:p>
              </w:txbxContent>
            </v:textbox>
          </v:rect>
        </w:pict>
      </w:r>
    </w:p>
    <w:p w:rsidR="00434814" w:rsidRDefault="00434814" w:rsidP="008760B6">
      <w:pPr>
        <w:ind w:right="-55"/>
        <w:jc w:val="both"/>
        <w:rPr>
          <w:rFonts w:ascii="Verdana" w:hAnsi="Verdana"/>
        </w:rPr>
      </w:pPr>
    </w:p>
    <w:p w:rsidR="00434814" w:rsidRPr="00034CDD" w:rsidRDefault="00434814" w:rsidP="008760B6">
      <w:pPr>
        <w:ind w:right="-55"/>
        <w:jc w:val="both"/>
        <w:rPr>
          <w:rFonts w:ascii="Verdana" w:hAnsi="Verdana"/>
        </w:rPr>
      </w:pPr>
    </w:p>
    <w:p w:rsidR="00434814" w:rsidRDefault="00434814" w:rsidP="00434814">
      <w:pPr>
        <w:numPr>
          <w:ilvl w:val="0"/>
          <w:numId w:val="4"/>
        </w:numPr>
        <w:ind w:right="-55"/>
        <w:jc w:val="both"/>
        <w:rPr>
          <w:rFonts w:ascii="Verdana" w:hAnsi="Verdana"/>
        </w:rPr>
      </w:pPr>
      <w:r w:rsidRPr="00D6318D">
        <w:rPr>
          <w:rFonts w:ascii="Verdana" w:hAnsi="Verdana"/>
        </w:rPr>
        <w:t>Nombre de la entidad</w:t>
      </w:r>
      <w:r>
        <w:rPr>
          <w:rFonts w:ascii="Verdana" w:hAnsi="Verdana"/>
        </w:rPr>
        <w:t xml:space="preserve"> e identidad</w:t>
      </w:r>
      <w:r w:rsidRPr="00D6318D">
        <w:rPr>
          <w:rFonts w:ascii="Verdana" w:hAnsi="Verdana"/>
        </w:rPr>
        <w:t>: “CAJA DE CRÉDITO DE LOS INGENIEROS – CAIXA DE CRÈDIT DELS ENGINYERS, S. COOP. DE CRÉDITO” con nº de identificación fiscal F08216863, e inscrita en el Registro Mercantil de Barcelona, en el folio 1 del tomo 21.606, hoja nº 25.121, inscripción primera</w:t>
      </w:r>
      <w:r>
        <w:rPr>
          <w:rFonts w:ascii="Verdana" w:hAnsi="Verdana"/>
        </w:rPr>
        <w:t>.</w:t>
      </w:r>
    </w:p>
    <w:p w:rsidR="00434814" w:rsidRDefault="00434814" w:rsidP="00434814">
      <w:pPr>
        <w:numPr>
          <w:ilvl w:val="0"/>
          <w:numId w:val="4"/>
        </w:numPr>
        <w:ind w:right="-55"/>
        <w:jc w:val="both"/>
        <w:rPr>
          <w:rFonts w:ascii="Verdana" w:hAnsi="Verdana"/>
        </w:rPr>
      </w:pPr>
      <w:r>
        <w:rPr>
          <w:rFonts w:ascii="Verdana" w:hAnsi="Verdana"/>
        </w:rPr>
        <w:t>Domicilio social: Barcelona, Vía Layet</w:t>
      </w:r>
      <w:r w:rsidRPr="00D6318D">
        <w:rPr>
          <w:rFonts w:ascii="Verdana" w:hAnsi="Verdana"/>
        </w:rPr>
        <w:t>ana nº 39</w:t>
      </w:r>
    </w:p>
    <w:p w:rsidR="00434814" w:rsidRDefault="00434814" w:rsidP="00434814">
      <w:pPr>
        <w:numPr>
          <w:ilvl w:val="0"/>
          <w:numId w:val="4"/>
        </w:numPr>
        <w:ind w:right="-55"/>
        <w:jc w:val="both"/>
        <w:rPr>
          <w:rFonts w:ascii="Verdana" w:hAnsi="Verdana"/>
        </w:rPr>
      </w:pPr>
      <w:r>
        <w:rPr>
          <w:rFonts w:ascii="Verdana" w:hAnsi="Verdana"/>
        </w:rPr>
        <w:t>N</w:t>
      </w:r>
      <w:r w:rsidRPr="00D6318D">
        <w:rPr>
          <w:rFonts w:ascii="Verdana" w:hAnsi="Verdana"/>
        </w:rPr>
        <w:t>º de teléfono 93.268.29.29</w:t>
      </w:r>
    </w:p>
    <w:p w:rsidR="00434814" w:rsidRDefault="00434814" w:rsidP="00434814">
      <w:pPr>
        <w:numPr>
          <w:ilvl w:val="0"/>
          <w:numId w:val="4"/>
        </w:numPr>
        <w:ind w:right="-55"/>
        <w:jc w:val="both"/>
        <w:rPr>
          <w:rFonts w:ascii="Verdana" w:hAnsi="Verdana"/>
        </w:rPr>
      </w:pPr>
      <w:r>
        <w:rPr>
          <w:rFonts w:ascii="Verdana" w:hAnsi="Verdana"/>
        </w:rPr>
        <w:t>Dirección de página electrónica:</w:t>
      </w:r>
      <w:r w:rsidRPr="00B14A7A">
        <w:rPr>
          <w:rFonts w:ascii="Verdana" w:hAnsi="Verdana"/>
        </w:rPr>
        <w:t xml:space="preserve"> </w:t>
      </w:r>
      <w:hyperlink r:id="rId9" w:history="1">
        <w:r w:rsidRPr="00D6318D">
          <w:rPr>
            <w:rStyle w:val="Hipervnculo"/>
            <w:rFonts w:ascii="Verdana" w:hAnsi="Verdana"/>
          </w:rPr>
          <w:t>www.caja-ingenieros.es</w:t>
        </w:r>
      </w:hyperlink>
    </w:p>
    <w:p w:rsidR="00434814" w:rsidRPr="00210E89" w:rsidRDefault="00434814" w:rsidP="00434814">
      <w:pPr>
        <w:numPr>
          <w:ilvl w:val="0"/>
          <w:numId w:val="4"/>
        </w:numPr>
        <w:ind w:right="-55"/>
        <w:jc w:val="both"/>
        <w:rPr>
          <w:rFonts w:ascii="Verdana" w:hAnsi="Verdana"/>
        </w:rPr>
      </w:pPr>
      <w:r>
        <w:rPr>
          <w:rFonts w:ascii="Verdana" w:hAnsi="Verdana"/>
        </w:rPr>
        <w:t xml:space="preserve">Autoridad de supervisión: La autoridad competente para la supervisión de la prestación de servicios bancarios es el </w:t>
      </w:r>
      <w:r w:rsidRPr="00210E89">
        <w:rPr>
          <w:rFonts w:ascii="Verdana" w:hAnsi="Verdana"/>
        </w:rPr>
        <w:t xml:space="preserve">Banco de España, dirección electrónica </w:t>
      </w:r>
      <w:hyperlink r:id="rId10" w:history="1">
        <w:r w:rsidRPr="007649B5">
          <w:rPr>
            <w:rStyle w:val="Hipervnculo"/>
            <w:rFonts w:ascii="Verdana" w:hAnsi="Verdana"/>
          </w:rPr>
          <w:t>www.bde.es</w:t>
        </w:r>
      </w:hyperlink>
    </w:p>
    <w:p w:rsidR="00434814" w:rsidRPr="00314A35" w:rsidRDefault="00434814" w:rsidP="00434814">
      <w:pPr>
        <w:numPr>
          <w:ilvl w:val="0"/>
          <w:numId w:val="4"/>
        </w:numPr>
        <w:ind w:right="-55"/>
        <w:jc w:val="both"/>
        <w:rPr>
          <w:rFonts w:ascii="Verdana" w:hAnsi="Verdana"/>
        </w:rPr>
      </w:pPr>
      <w:r w:rsidRPr="00314A35">
        <w:rPr>
          <w:rFonts w:ascii="Verdana" w:hAnsi="Verdana"/>
        </w:rPr>
        <w:t>Datos de Contacto de Servicio de Atención al Cliente: Servicio de atención al Socio/Cliente: Vía Layetana, 39, 08003 Barcelona. Teléfono 900.30.25.14,</w:t>
      </w:r>
      <w:r>
        <w:rPr>
          <w:rFonts w:ascii="Verdana" w:hAnsi="Verdana"/>
        </w:rPr>
        <w:t xml:space="preserve"> </w:t>
      </w:r>
      <w:hyperlink r:id="rId11" w:history="1">
        <w:r w:rsidRPr="00314A35">
          <w:rPr>
            <w:rStyle w:val="Hipervnculo"/>
            <w:rFonts w:ascii="Verdana" w:hAnsi="Verdana"/>
          </w:rPr>
          <w:t>serviciosocio@caja-ingenieros.es</w:t>
        </w:r>
      </w:hyperlink>
    </w:p>
    <w:p w:rsidR="00434814" w:rsidRDefault="003F2179" w:rsidP="008760B6">
      <w:pPr>
        <w:ind w:right="-55"/>
        <w:jc w:val="both"/>
        <w:rPr>
          <w:rFonts w:ascii="Verdana" w:hAnsi="Verdana"/>
          <w:color w:val="3366FF"/>
          <w:u w:val="single"/>
        </w:rPr>
      </w:pPr>
      <w:r>
        <w:rPr>
          <w:rFonts w:ascii="Verdana" w:hAnsi="Verdana"/>
          <w:noProof/>
        </w:rPr>
        <w:pict>
          <v:rect id="_x0000_s1027" style="position:absolute;left:0;text-align:left;margin-left:-1.05pt;margin-top:7.75pt;width:498.75pt;height:18.75pt;z-index:251660288" fillcolor="#4f81bd">
            <v:textbox>
              <w:txbxContent>
                <w:p w:rsidR="00C90EE5" w:rsidRPr="00750752" w:rsidRDefault="00C90EE5" w:rsidP="008760B6">
                  <w:pPr>
                    <w:rPr>
                      <w:rFonts w:ascii="Verdana" w:hAnsi="Verdana"/>
                      <w:color w:val="FFFFFF"/>
                    </w:rPr>
                  </w:pPr>
                  <w:r>
                    <w:rPr>
                      <w:rFonts w:ascii="Verdana" w:hAnsi="Verdana"/>
                      <w:color w:val="FFFFFF"/>
                    </w:rPr>
                    <w:t xml:space="preserve">Características del préstamo: </w:t>
                  </w:r>
                </w:p>
              </w:txbxContent>
            </v:textbox>
          </v:rect>
        </w:pict>
      </w:r>
    </w:p>
    <w:p w:rsidR="00434814" w:rsidRDefault="00434814" w:rsidP="008760B6">
      <w:pPr>
        <w:ind w:right="-55"/>
        <w:jc w:val="both"/>
        <w:rPr>
          <w:rFonts w:ascii="Verdana" w:hAnsi="Verdana"/>
          <w:color w:val="3366FF"/>
          <w:u w:val="single"/>
        </w:rPr>
      </w:pPr>
    </w:p>
    <w:tbl>
      <w:tblPr>
        <w:tblpPr w:leftFromText="141" w:rightFromText="141" w:vertAnchor="text" w:horzAnchor="margin" w:tblpX="779" w:tblpY="1060"/>
        <w:tblW w:w="8575" w:type="dxa"/>
        <w:tblCellMar>
          <w:left w:w="70" w:type="dxa"/>
          <w:right w:w="70" w:type="dxa"/>
        </w:tblCellMar>
        <w:tblLook w:val="04A0" w:firstRow="1" w:lastRow="0" w:firstColumn="1" w:lastColumn="0" w:noHBand="0" w:noVBand="1"/>
      </w:tblPr>
      <w:tblGrid>
        <w:gridCol w:w="3135"/>
        <w:gridCol w:w="2268"/>
        <w:gridCol w:w="3172"/>
      </w:tblGrid>
      <w:tr w:rsidR="00A233DF" w:rsidRPr="00F703A9" w:rsidTr="00BC5A3D">
        <w:trPr>
          <w:trHeight w:val="612"/>
        </w:trPr>
        <w:tc>
          <w:tcPr>
            <w:tcW w:w="3135" w:type="dxa"/>
            <w:tcBorders>
              <w:top w:val="single" w:sz="4" w:space="0" w:color="1F497D"/>
              <w:left w:val="single" w:sz="4" w:space="0" w:color="1F497D"/>
              <w:bottom w:val="single" w:sz="4" w:space="0" w:color="1F497D"/>
              <w:right w:val="single" w:sz="4" w:space="0" w:color="1F497D"/>
            </w:tcBorders>
            <w:shd w:val="clear" w:color="000000" w:fill="99CCFF"/>
            <w:vAlign w:val="center"/>
            <w:hideMark/>
          </w:tcPr>
          <w:p w:rsidR="00A233DF" w:rsidRPr="00F703A9" w:rsidRDefault="00A233DF" w:rsidP="00BC5A3D">
            <w:pPr>
              <w:rPr>
                <w:rFonts w:ascii="Verdana" w:hAnsi="Verdana" w:cs="Calibri"/>
                <w:b/>
                <w:bCs/>
                <w:color w:val="000080"/>
                <w:sz w:val="16"/>
                <w:szCs w:val="16"/>
                <w:lang w:val="es-ES"/>
              </w:rPr>
            </w:pPr>
            <w:r w:rsidRPr="00F703A9">
              <w:rPr>
                <w:rFonts w:ascii="Verdana" w:hAnsi="Verdana" w:cs="Calibri"/>
                <w:b/>
                <w:bCs/>
                <w:color w:val="000080"/>
                <w:sz w:val="16"/>
                <w:szCs w:val="16"/>
                <w:lang w:val="es-ES"/>
              </w:rPr>
              <w:t>PRÉSTAMOS</w:t>
            </w:r>
            <w:r w:rsidR="00170397">
              <w:rPr>
                <w:rFonts w:ascii="Verdana" w:hAnsi="Verdana" w:cs="Calibri"/>
                <w:b/>
                <w:bCs/>
                <w:color w:val="000080"/>
                <w:sz w:val="16"/>
                <w:szCs w:val="16"/>
                <w:lang w:val="es-ES"/>
              </w:rPr>
              <w:t xml:space="preserve"> </w:t>
            </w:r>
            <w:r w:rsidRPr="00F703A9">
              <w:rPr>
                <w:rFonts w:ascii="Verdana" w:hAnsi="Verdana" w:cs="Calibri"/>
                <w:b/>
                <w:bCs/>
                <w:color w:val="000080"/>
                <w:sz w:val="16"/>
                <w:szCs w:val="16"/>
                <w:lang w:val="es-ES"/>
              </w:rPr>
              <w:t>CON GARANTÍA HIPOTECARIA PARA ADQUISICIÓN DE VIVIENDA HABITUAL</w:t>
            </w:r>
          </w:p>
        </w:tc>
        <w:tc>
          <w:tcPr>
            <w:tcW w:w="2268" w:type="dxa"/>
            <w:tcBorders>
              <w:top w:val="single" w:sz="4" w:space="0" w:color="1F497D"/>
              <w:left w:val="nil"/>
              <w:bottom w:val="single" w:sz="4" w:space="0" w:color="1F497D"/>
              <w:right w:val="single" w:sz="4" w:space="0" w:color="1F497D"/>
            </w:tcBorders>
            <w:shd w:val="clear" w:color="000000" w:fill="DCE6F1"/>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Importe máximo del préstamo disponible en relación con el valor del bien inmueble (1)</w:t>
            </w:r>
          </w:p>
        </w:tc>
        <w:tc>
          <w:tcPr>
            <w:tcW w:w="3172" w:type="dxa"/>
            <w:tcBorders>
              <w:top w:val="single" w:sz="4" w:space="0" w:color="1F497D"/>
              <w:left w:val="nil"/>
              <w:bottom w:val="single" w:sz="4" w:space="0" w:color="1F497D"/>
              <w:right w:val="single" w:sz="4" w:space="0" w:color="1F497D"/>
            </w:tcBorders>
            <w:shd w:val="clear" w:color="000000" w:fill="DCE6F1"/>
            <w:vAlign w:val="center"/>
            <w:hideMark/>
          </w:tcPr>
          <w:p w:rsidR="00A233DF" w:rsidRPr="00F703A9" w:rsidRDefault="00A233DF" w:rsidP="00BC5A3D">
            <w:pPr>
              <w:jc w:val="both"/>
              <w:rPr>
                <w:rFonts w:ascii="Verdana" w:hAnsi="Verdana" w:cs="Calibri"/>
                <w:b/>
                <w:bCs/>
                <w:color w:val="000080"/>
                <w:sz w:val="16"/>
                <w:szCs w:val="16"/>
                <w:lang w:val="es-ES"/>
              </w:rPr>
            </w:pPr>
            <w:r w:rsidRPr="00F703A9">
              <w:rPr>
                <w:rFonts w:ascii="Verdana" w:hAnsi="Verdana" w:cs="Calibri"/>
                <w:b/>
                <w:bCs/>
                <w:color w:val="000080"/>
                <w:sz w:val="16"/>
                <w:szCs w:val="16"/>
                <w:lang w:val="es-ES"/>
              </w:rPr>
              <w:t>Ejemplo: Un valor de un inmueble por 187.500 euros permite un importe máximo de préstamo de :</w:t>
            </w:r>
          </w:p>
        </w:tc>
      </w:tr>
      <w:tr w:rsidR="00A233DF" w:rsidRPr="00F703A9" w:rsidTr="00BC5A3D">
        <w:trPr>
          <w:trHeight w:val="240"/>
        </w:trPr>
        <w:tc>
          <w:tcPr>
            <w:tcW w:w="313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HOGAR hasta 60 %</w:t>
            </w:r>
          </w:p>
        </w:tc>
        <w:tc>
          <w:tcPr>
            <w:tcW w:w="2268" w:type="dxa"/>
            <w:tcBorders>
              <w:top w:val="nil"/>
              <w:left w:val="nil"/>
              <w:bottom w:val="single" w:sz="4" w:space="0" w:color="1F497D"/>
              <w:right w:val="single" w:sz="4" w:space="0" w:color="1F497D"/>
            </w:tcBorders>
            <w:shd w:val="clear" w:color="auto" w:fill="auto"/>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hasta el 60 % </w:t>
            </w:r>
            <w:r w:rsidRPr="00F703A9">
              <w:rPr>
                <w:rFonts w:ascii="Verdana" w:hAnsi="Verdana" w:cs="Calibri"/>
                <w:b/>
                <w:bCs/>
                <w:color w:val="000080"/>
                <w:sz w:val="16"/>
                <w:szCs w:val="16"/>
                <w:vertAlign w:val="superscript"/>
                <w:lang w:val="es-ES"/>
              </w:rPr>
              <w:t>(2)</w:t>
            </w:r>
          </w:p>
        </w:tc>
        <w:tc>
          <w:tcPr>
            <w:tcW w:w="3172" w:type="dxa"/>
            <w:tcBorders>
              <w:top w:val="single" w:sz="4" w:space="0" w:color="1F497D"/>
              <w:left w:val="nil"/>
              <w:bottom w:val="single" w:sz="4" w:space="0" w:color="1F497D"/>
              <w:right w:val="single" w:sz="4" w:space="0" w:color="1F497D"/>
            </w:tcBorders>
            <w:shd w:val="clear" w:color="auto" w:fill="auto"/>
            <w:vAlign w:val="center"/>
            <w:hideMark/>
          </w:tcPr>
          <w:p w:rsidR="00A233DF" w:rsidRPr="00F703A9" w:rsidRDefault="00A233DF" w:rsidP="000C4900">
            <w:pPr>
              <w:jc w:val="center"/>
              <w:rPr>
                <w:rFonts w:ascii="Verdana" w:hAnsi="Verdana" w:cs="Calibri"/>
                <w:b/>
                <w:bCs/>
                <w:color w:val="000080"/>
                <w:sz w:val="16"/>
                <w:szCs w:val="16"/>
                <w:lang w:val="es-ES"/>
              </w:rPr>
            </w:pPr>
            <w:r w:rsidRPr="00F703A9">
              <w:rPr>
                <w:rFonts w:ascii="Verdana" w:hAnsi="Verdana" w:cs="Calibri"/>
                <w:b/>
                <w:bCs/>
                <w:color w:val="000080"/>
                <w:sz w:val="16"/>
                <w:szCs w:val="16"/>
                <w:lang w:val="es-ES"/>
              </w:rPr>
              <w:t>112.500,00 €</w:t>
            </w:r>
          </w:p>
        </w:tc>
      </w:tr>
      <w:tr w:rsidR="00A233DF" w:rsidRPr="00F703A9" w:rsidTr="00BC5A3D">
        <w:trPr>
          <w:trHeight w:val="240"/>
        </w:trPr>
        <w:tc>
          <w:tcPr>
            <w:tcW w:w="313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HOGAR hasta 80 %</w:t>
            </w:r>
          </w:p>
        </w:tc>
        <w:tc>
          <w:tcPr>
            <w:tcW w:w="2268" w:type="dxa"/>
            <w:tcBorders>
              <w:top w:val="nil"/>
              <w:left w:val="nil"/>
              <w:bottom w:val="single" w:sz="4" w:space="0" w:color="1F497D"/>
              <w:right w:val="single" w:sz="4" w:space="0" w:color="1F497D"/>
            </w:tcBorders>
            <w:shd w:val="clear" w:color="auto" w:fill="auto"/>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hasta el 80 % </w:t>
            </w:r>
            <w:r w:rsidRPr="00F703A9">
              <w:rPr>
                <w:rFonts w:ascii="Verdana" w:hAnsi="Verdana" w:cs="Calibri"/>
                <w:b/>
                <w:bCs/>
                <w:color w:val="000080"/>
                <w:sz w:val="16"/>
                <w:szCs w:val="16"/>
                <w:vertAlign w:val="superscript"/>
                <w:lang w:val="es-ES"/>
              </w:rPr>
              <w:t>(2)</w:t>
            </w:r>
          </w:p>
        </w:tc>
        <w:tc>
          <w:tcPr>
            <w:tcW w:w="3172" w:type="dxa"/>
            <w:tcBorders>
              <w:top w:val="single" w:sz="4" w:space="0" w:color="1F497D"/>
              <w:left w:val="nil"/>
              <w:bottom w:val="single" w:sz="4" w:space="0" w:color="1F497D"/>
              <w:right w:val="single" w:sz="4" w:space="0" w:color="1F497D"/>
            </w:tcBorders>
            <w:shd w:val="clear" w:color="auto" w:fill="auto"/>
            <w:vAlign w:val="center"/>
            <w:hideMark/>
          </w:tcPr>
          <w:p w:rsidR="00A233DF" w:rsidRPr="00F703A9" w:rsidRDefault="00A233DF" w:rsidP="000C4900">
            <w:pPr>
              <w:jc w:val="center"/>
              <w:rPr>
                <w:rFonts w:ascii="Verdana" w:hAnsi="Verdana" w:cs="Calibri"/>
                <w:b/>
                <w:bCs/>
                <w:color w:val="000080"/>
                <w:sz w:val="16"/>
                <w:szCs w:val="16"/>
                <w:lang w:val="es-ES"/>
              </w:rPr>
            </w:pPr>
            <w:r w:rsidRPr="00F703A9">
              <w:rPr>
                <w:rFonts w:ascii="Verdana" w:hAnsi="Verdana" w:cs="Calibri"/>
                <w:b/>
                <w:bCs/>
                <w:color w:val="000080"/>
                <w:sz w:val="16"/>
                <w:szCs w:val="16"/>
                <w:lang w:val="es-ES"/>
              </w:rPr>
              <w:t>150.000,00 €</w:t>
            </w:r>
          </w:p>
        </w:tc>
      </w:tr>
      <w:tr w:rsidR="00A233DF" w:rsidRPr="00F703A9" w:rsidTr="00BC5A3D">
        <w:trPr>
          <w:trHeight w:val="240"/>
        </w:trPr>
        <w:tc>
          <w:tcPr>
            <w:tcW w:w="313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MIXTA </w:t>
            </w:r>
            <w:r w:rsidR="001D76D3">
              <w:rPr>
                <w:rFonts w:ascii="Verdana" w:hAnsi="Verdana" w:cs="Calibri"/>
                <w:b/>
                <w:bCs/>
                <w:color w:val="000080"/>
                <w:sz w:val="16"/>
                <w:szCs w:val="16"/>
                <w:lang w:val="es-ES"/>
              </w:rPr>
              <w:t>- 5</w:t>
            </w:r>
          </w:p>
        </w:tc>
        <w:tc>
          <w:tcPr>
            <w:tcW w:w="2268" w:type="dxa"/>
            <w:tcBorders>
              <w:top w:val="nil"/>
              <w:left w:val="nil"/>
              <w:bottom w:val="single" w:sz="4" w:space="0" w:color="1F497D"/>
              <w:right w:val="single" w:sz="4" w:space="0" w:color="1F497D"/>
            </w:tcBorders>
            <w:shd w:val="clear" w:color="auto" w:fill="auto"/>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hasta el 80 %</w:t>
            </w:r>
            <w:r w:rsidRPr="00F703A9">
              <w:rPr>
                <w:rFonts w:ascii="Verdana" w:hAnsi="Verdana" w:cs="Calibri"/>
                <w:b/>
                <w:bCs/>
                <w:color w:val="000080"/>
                <w:sz w:val="16"/>
                <w:szCs w:val="16"/>
                <w:vertAlign w:val="superscript"/>
                <w:lang w:val="es-ES"/>
              </w:rPr>
              <w:t xml:space="preserve"> (2)</w:t>
            </w:r>
          </w:p>
        </w:tc>
        <w:tc>
          <w:tcPr>
            <w:tcW w:w="3172" w:type="dxa"/>
            <w:tcBorders>
              <w:top w:val="single" w:sz="4" w:space="0" w:color="1F497D"/>
              <w:left w:val="nil"/>
              <w:bottom w:val="single" w:sz="4" w:space="0" w:color="1F497D"/>
              <w:right w:val="single" w:sz="4" w:space="0" w:color="1F497D"/>
            </w:tcBorders>
            <w:shd w:val="clear" w:color="auto" w:fill="auto"/>
            <w:vAlign w:val="center"/>
            <w:hideMark/>
          </w:tcPr>
          <w:p w:rsidR="00A233DF" w:rsidRPr="00F703A9" w:rsidRDefault="00A233DF" w:rsidP="000C4900">
            <w:pPr>
              <w:jc w:val="center"/>
              <w:rPr>
                <w:rFonts w:ascii="Verdana" w:hAnsi="Verdana" w:cs="Calibri"/>
                <w:b/>
                <w:bCs/>
                <w:color w:val="000080"/>
                <w:sz w:val="16"/>
                <w:szCs w:val="16"/>
                <w:lang w:val="es-ES"/>
              </w:rPr>
            </w:pPr>
            <w:r w:rsidRPr="00F703A9">
              <w:rPr>
                <w:rFonts w:ascii="Verdana" w:hAnsi="Verdana" w:cs="Calibri"/>
                <w:b/>
                <w:bCs/>
                <w:color w:val="000080"/>
                <w:sz w:val="16"/>
                <w:szCs w:val="16"/>
                <w:lang w:val="es-ES"/>
              </w:rPr>
              <w:t>150.000,00 €</w:t>
            </w:r>
          </w:p>
        </w:tc>
      </w:tr>
      <w:tr w:rsidR="00A233DF" w:rsidRPr="00F703A9" w:rsidTr="00BC5A3D">
        <w:trPr>
          <w:trHeight w:val="240"/>
        </w:trPr>
        <w:tc>
          <w:tcPr>
            <w:tcW w:w="313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MIXTA </w:t>
            </w:r>
            <w:r w:rsidR="001D76D3">
              <w:rPr>
                <w:rFonts w:ascii="Verdana" w:hAnsi="Verdana" w:cs="Calibri"/>
                <w:b/>
                <w:bCs/>
                <w:color w:val="000080"/>
                <w:sz w:val="16"/>
                <w:szCs w:val="16"/>
                <w:lang w:val="es-ES"/>
              </w:rPr>
              <w:t>- 10</w:t>
            </w:r>
          </w:p>
        </w:tc>
        <w:tc>
          <w:tcPr>
            <w:tcW w:w="2268" w:type="dxa"/>
            <w:tcBorders>
              <w:top w:val="nil"/>
              <w:left w:val="nil"/>
              <w:bottom w:val="single" w:sz="4" w:space="0" w:color="1F497D"/>
              <w:right w:val="single" w:sz="4" w:space="0" w:color="1F497D"/>
            </w:tcBorders>
            <w:shd w:val="clear" w:color="auto" w:fill="auto"/>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hasta el 80 %</w:t>
            </w:r>
            <w:r w:rsidRPr="00F703A9">
              <w:rPr>
                <w:rFonts w:ascii="Verdana" w:hAnsi="Verdana" w:cs="Calibri"/>
                <w:b/>
                <w:bCs/>
                <w:color w:val="000080"/>
                <w:sz w:val="16"/>
                <w:szCs w:val="16"/>
                <w:vertAlign w:val="superscript"/>
                <w:lang w:val="es-ES"/>
              </w:rPr>
              <w:t xml:space="preserve"> (2)</w:t>
            </w:r>
          </w:p>
        </w:tc>
        <w:tc>
          <w:tcPr>
            <w:tcW w:w="3172" w:type="dxa"/>
            <w:tcBorders>
              <w:top w:val="single" w:sz="4" w:space="0" w:color="1F497D"/>
              <w:left w:val="nil"/>
              <w:bottom w:val="single" w:sz="4" w:space="0" w:color="1F497D"/>
              <w:right w:val="single" w:sz="4" w:space="0" w:color="1F497D"/>
            </w:tcBorders>
            <w:shd w:val="clear" w:color="auto" w:fill="auto"/>
            <w:vAlign w:val="center"/>
            <w:hideMark/>
          </w:tcPr>
          <w:p w:rsidR="00A233DF" w:rsidRPr="00F703A9" w:rsidRDefault="00A233DF" w:rsidP="000C4900">
            <w:pPr>
              <w:jc w:val="center"/>
              <w:rPr>
                <w:rFonts w:ascii="Verdana" w:hAnsi="Verdana" w:cs="Calibri"/>
                <w:b/>
                <w:bCs/>
                <w:color w:val="000080"/>
                <w:sz w:val="16"/>
                <w:szCs w:val="16"/>
                <w:lang w:val="es-ES"/>
              </w:rPr>
            </w:pPr>
            <w:r w:rsidRPr="00F703A9">
              <w:rPr>
                <w:rFonts w:ascii="Verdana" w:hAnsi="Verdana" w:cs="Calibri"/>
                <w:b/>
                <w:bCs/>
                <w:color w:val="000080"/>
                <w:sz w:val="16"/>
                <w:szCs w:val="16"/>
                <w:lang w:val="es-ES"/>
              </w:rPr>
              <w:t>150.000,00 €</w:t>
            </w:r>
          </w:p>
        </w:tc>
      </w:tr>
      <w:tr w:rsidR="00A233DF" w:rsidRPr="00F703A9" w:rsidTr="00BC5A3D">
        <w:trPr>
          <w:trHeight w:val="240"/>
        </w:trPr>
        <w:tc>
          <w:tcPr>
            <w:tcW w:w="313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MIXTA </w:t>
            </w:r>
            <w:r w:rsidR="001D76D3">
              <w:rPr>
                <w:rFonts w:ascii="Verdana" w:hAnsi="Verdana" w:cs="Calibri"/>
                <w:b/>
                <w:bCs/>
                <w:color w:val="000080"/>
                <w:sz w:val="16"/>
                <w:szCs w:val="16"/>
                <w:lang w:val="es-ES"/>
              </w:rPr>
              <w:t>- 15</w:t>
            </w:r>
          </w:p>
        </w:tc>
        <w:tc>
          <w:tcPr>
            <w:tcW w:w="2268" w:type="dxa"/>
            <w:tcBorders>
              <w:top w:val="nil"/>
              <w:left w:val="nil"/>
              <w:bottom w:val="single" w:sz="4" w:space="0" w:color="1F497D"/>
              <w:right w:val="single" w:sz="4" w:space="0" w:color="1F497D"/>
            </w:tcBorders>
            <w:shd w:val="clear" w:color="auto" w:fill="auto"/>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hasta el 80 %</w:t>
            </w:r>
            <w:r w:rsidRPr="00F703A9">
              <w:rPr>
                <w:rFonts w:ascii="Verdana" w:hAnsi="Verdana" w:cs="Calibri"/>
                <w:b/>
                <w:bCs/>
                <w:color w:val="000080"/>
                <w:sz w:val="16"/>
                <w:szCs w:val="16"/>
                <w:vertAlign w:val="superscript"/>
                <w:lang w:val="es-ES"/>
              </w:rPr>
              <w:t xml:space="preserve"> (2)</w:t>
            </w:r>
          </w:p>
        </w:tc>
        <w:tc>
          <w:tcPr>
            <w:tcW w:w="3172" w:type="dxa"/>
            <w:tcBorders>
              <w:top w:val="single" w:sz="4" w:space="0" w:color="1F497D"/>
              <w:left w:val="nil"/>
              <w:bottom w:val="single" w:sz="4" w:space="0" w:color="1F497D"/>
              <w:right w:val="single" w:sz="4" w:space="0" w:color="1F497D"/>
            </w:tcBorders>
            <w:shd w:val="clear" w:color="auto" w:fill="auto"/>
            <w:vAlign w:val="center"/>
            <w:hideMark/>
          </w:tcPr>
          <w:p w:rsidR="00A233DF" w:rsidRPr="00F703A9" w:rsidRDefault="00A233DF" w:rsidP="000C4900">
            <w:pPr>
              <w:jc w:val="center"/>
              <w:rPr>
                <w:rFonts w:ascii="Verdana" w:hAnsi="Verdana" w:cs="Calibri"/>
                <w:b/>
                <w:bCs/>
                <w:color w:val="000080"/>
                <w:sz w:val="16"/>
                <w:szCs w:val="16"/>
                <w:lang w:val="es-ES"/>
              </w:rPr>
            </w:pPr>
            <w:r w:rsidRPr="00F703A9">
              <w:rPr>
                <w:rFonts w:ascii="Verdana" w:hAnsi="Verdana" w:cs="Calibri"/>
                <w:b/>
                <w:bCs/>
                <w:color w:val="000080"/>
                <w:sz w:val="16"/>
                <w:szCs w:val="16"/>
                <w:lang w:val="es-ES"/>
              </w:rPr>
              <w:t>150.000,00 €</w:t>
            </w:r>
          </w:p>
        </w:tc>
      </w:tr>
      <w:tr w:rsidR="00A233DF" w:rsidRPr="00F703A9" w:rsidTr="00BC5A3D">
        <w:trPr>
          <w:trHeight w:val="240"/>
        </w:trPr>
        <w:tc>
          <w:tcPr>
            <w:tcW w:w="313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A233DF" w:rsidRPr="00F703A9" w:rsidRDefault="00A233DF" w:rsidP="00BC5A3D">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FIJA </w:t>
            </w:r>
            <w:r w:rsidR="001D76D3">
              <w:rPr>
                <w:rFonts w:ascii="Verdana" w:hAnsi="Verdana" w:cs="Calibri"/>
                <w:b/>
                <w:bCs/>
                <w:color w:val="000080"/>
                <w:sz w:val="16"/>
                <w:szCs w:val="16"/>
                <w:lang w:val="es-ES"/>
              </w:rPr>
              <w:t xml:space="preserve">-15 </w:t>
            </w:r>
          </w:p>
        </w:tc>
        <w:tc>
          <w:tcPr>
            <w:tcW w:w="2268" w:type="dxa"/>
            <w:tcBorders>
              <w:top w:val="nil"/>
              <w:left w:val="nil"/>
              <w:bottom w:val="single" w:sz="4" w:space="0" w:color="1F497D"/>
              <w:right w:val="single" w:sz="4" w:space="0" w:color="1F497D"/>
            </w:tcBorders>
            <w:shd w:val="clear" w:color="auto" w:fill="auto"/>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hasta el 80 %</w:t>
            </w:r>
            <w:r w:rsidRPr="00F703A9">
              <w:rPr>
                <w:rFonts w:ascii="Verdana" w:hAnsi="Verdana" w:cs="Calibri"/>
                <w:b/>
                <w:bCs/>
                <w:color w:val="000080"/>
                <w:sz w:val="16"/>
                <w:szCs w:val="16"/>
                <w:vertAlign w:val="superscript"/>
                <w:lang w:val="es-ES"/>
              </w:rPr>
              <w:t xml:space="preserve"> (2)</w:t>
            </w:r>
          </w:p>
        </w:tc>
        <w:tc>
          <w:tcPr>
            <w:tcW w:w="3172" w:type="dxa"/>
            <w:tcBorders>
              <w:top w:val="single" w:sz="4" w:space="0" w:color="1F497D"/>
              <w:left w:val="nil"/>
              <w:bottom w:val="single" w:sz="4" w:space="0" w:color="1F497D"/>
              <w:right w:val="single" w:sz="4" w:space="0" w:color="1F497D"/>
            </w:tcBorders>
            <w:shd w:val="clear" w:color="auto" w:fill="auto"/>
            <w:vAlign w:val="center"/>
            <w:hideMark/>
          </w:tcPr>
          <w:p w:rsidR="00A233DF" w:rsidRPr="00F703A9" w:rsidRDefault="00A233DF" w:rsidP="000C4900">
            <w:pPr>
              <w:jc w:val="center"/>
              <w:rPr>
                <w:rFonts w:ascii="Verdana" w:hAnsi="Verdana" w:cs="Calibri"/>
                <w:b/>
                <w:bCs/>
                <w:color w:val="000080"/>
                <w:sz w:val="16"/>
                <w:szCs w:val="16"/>
                <w:lang w:val="es-ES"/>
              </w:rPr>
            </w:pPr>
            <w:r w:rsidRPr="00F703A9">
              <w:rPr>
                <w:rFonts w:ascii="Verdana" w:hAnsi="Verdana" w:cs="Calibri"/>
                <w:b/>
                <w:bCs/>
                <w:color w:val="000080"/>
                <w:sz w:val="16"/>
                <w:szCs w:val="16"/>
                <w:lang w:val="es-ES"/>
              </w:rPr>
              <w:t>150.000,00 €</w:t>
            </w:r>
          </w:p>
        </w:tc>
      </w:tr>
      <w:tr w:rsidR="00A233DF" w:rsidRPr="00F703A9" w:rsidTr="00BC5A3D">
        <w:trPr>
          <w:trHeight w:val="240"/>
        </w:trPr>
        <w:tc>
          <w:tcPr>
            <w:tcW w:w="313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A233DF" w:rsidRPr="00F703A9" w:rsidRDefault="00A233DF" w:rsidP="00BC5A3D">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FIJA </w:t>
            </w:r>
            <w:r w:rsidR="001D76D3">
              <w:rPr>
                <w:rFonts w:ascii="Verdana" w:hAnsi="Verdana" w:cs="Calibri"/>
                <w:b/>
                <w:bCs/>
                <w:color w:val="000080"/>
                <w:sz w:val="16"/>
                <w:szCs w:val="16"/>
                <w:lang w:val="es-ES"/>
              </w:rPr>
              <w:t>-20</w:t>
            </w:r>
            <w:r w:rsidRPr="00F703A9">
              <w:rPr>
                <w:rFonts w:ascii="Verdana" w:hAnsi="Verdana" w:cs="Calibri"/>
                <w:b/>
                <w:bCs/>
                <w:color w:val="000080"/>
                <w:sz w:val="16"/>
                <w:szCs w:val="16"/>
                <w:lang w:val="es-ES"/>
              </w:rPr>
              <w:t xml:space="preserve"> </w:t>
            </w:r>
          </w:p>
        </w:tc>
        <w:tc>
          <w:tcPr>
            <w:tcW w:w="2268" w:type="dxa"/>
            <w:tcBorders>
              <w:top w:val="nil"/>
              <w:left w:val="nil"/>
              <w:bottom w:val="single" w:sz="4" w:space="0" w:color="1F497D"/>
              <w:right w:val="single" w:sz="4" w:space="0" w:color="1F497D"/>
            </w:tcBorders>
            <w:shd w:val="clear" w:color="auto" w:fill="auto"/>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hasta el 80 % </w:t>
            </w:r>
            <w:r w:rsidRPr="00F703A9">
              <w:rPr>
                <w:rFonts w:ascii="Verdana" w:hAnsi="Verdana" w:cs="Calibri"/>
                <w:b/>
                <w:bCs/>
                <w:color w:val="000080"/>
                <w:sz w:val="16"/>
                <w:szCs w:val="16"/>
                <w:vertAlign w:val="superscript"/>
                <w:lang w:val="es-ES"/>
              </w:rPr>
              <w:t>(2)</w:t>
            </w:r>
          </w:p>
        </w:tc>
        <w:tc>
          <w:tcPr>
            <w:tcW w:w="3172" w:type="dxa"/>
            <w:tcBorders>
              <w:top w:val="single" w:sz="4" w:space="0" w:color="1F497D"/>
              <w:left w:val="nil"/>
              <w:bottom w:val="single" w:sz="4" w:space="0" w:color="1F497D"/>
              <w:right w:val="single" w:sz="4" w:space="0" w:color="1F497D"/>
            </w:tcBorders>
            <w:shd w:val="clear" w:color="auto" w:fill="auto"/>
            <w:vAlign w:val="center"/>
            <w:hideMark/>
          </w:tcPr>
          <w:p w:rsidR="00A233DF" w:rsidRPr="00F703A9" w:rsidRDefault="00A233DF" w:rsidP="000C4900">
            <w:pPr>
              <w:jc w:val="center"/>
              <w:rPr>
                <w:rFonts w:ascii="Verdana" w:hAnsi="Verdana" w:cs="Calibri"/>
                <w:b/>
                <w:bCs/>
                <w:color w:val="000080"/>
                <w:sz w:val="16"/>
                <w:szCs w:val="16"/>
                <w:lang w:val="es-ES"/>
              </w:rPr>
            </w:pPr>
            <w:r w:rsidRPr="00F703A9">
              <w:rPr>
                <w:rFonts w:ascii="Verdana" w:hAnsi="Verdana" w:cs="Calibri"/>
                <w:b/>
                <w:bCs/>
                <w:color w:val="000080"/>
                <w:sz w:val="16"/>
                <w:szCs w:val="16"/>
                <w:lang w:val="es-ES"/>
              </w:rPr>
              <w:t>150.000,00 €</w:t>
            </w:r>
          </w:p>
        </w:tc>
      </w:tr>
      <w:tr w:rsidR="00A233DF" w:rsidRPr="00F703A9" w:rsidTr="00BC5A3D">
        <w:trPr>
          <w:trHeight w:val="612"/>
        </w:trPr>
        <w:tc>
          <w:tcPr>
            <w:tcW w:w="3135" w:type="dxa"/>
            <w:tcBorders>
              <w:top w:val="single" w:sz="4" w:space="0" w:color="1F497D"/>
              <w:left w:val="single" w:sz="4" w:space="0" w:color="1F497D"/>
              <w:bottom w:val="single" w:sz="4" w:space="0" w:color="1F497D"/>
              <w:right w:val="single" w:sz="4" w:space="0" w:color="1F497D"/>
            </w:tcBorders>
            <w:shd w:val="clear" w:color="000000" w:fill="99CCFF"/>
            <w:vAlign w:val="center"/>
            <w:hideMark/>
          </w:tcPr>
          <w:p w:rsidR="00A233DF" w:rsidRPr="00F703A9" w:rsidRDefault="00A233DF" w:rsidP="00BC5A3D">
            <w:pPr>
              <w:rPr>
                <w:rFonts w:ascii="Verdana" w:hAnsi="Verdana" w:cs="Calibri"/>
                <w:b/>
                <w:bCs/>
                <w:color w:val="000080"/>
                <w:sz w:val="16"/>
                <w:szCs w:val="16"/>
                <w:lang w:val="es-ES"/>
              </w:rPr>
            </w:pPr>
            <w:r w:rsidRPr="00F703A9">
              <w:rPr>
                <w:rFonts w:ascii="Verdana" w:hAnsi="Verdana" w:cs="Calibri"/>
                <w:b/>
                <w:bCs/>
                <w:color w:val="000080"/>
                <w:sz w:val="16"/>
                <w:szCs w:val="16"/>
                <w:lang w:val="es-ES"/>
              </w:rPr>
              <w:t>PRÉSTAMOS CON GARANTÍA HIPOTECARIA PARA CUALQUIER TIPO DE FINANCIACIÓN</w:t>
            </w:r>
          </w:p>
        </w:tc>
        <w:tc>
          <w:tcPr>
            <w:tcW w:w="2268" w:type="dxa"/>
            <w:tcBorders>
              <w:top w:val="nil"/>
              <w:left w:val="nil"/>
              <w:bottom w:val="single" w:sz="4" w:space="0" w:color="1F497D"/>
              <w:right w:val="single" w:sz="4" w:space="0" w:color="1F497D"/>
            </w:tcBorders>
            <w:shd w:val="clear" w:color="000000" w:fill="DCE6F1"/>
            <w:vAlign w:val="center"/>
            <w:hideMark/>
          </w:tcPr>
          <w:p w:rsidR="00A233DF" w:rsidRPr="00F703A9" w:rsidRDefault="00C45744" w:rsidP="000C4900">
            <w:pPr>
              <w:rPr>
                <w:rFonts w:ascii="Verdana" w:hAnsi="Verdana" w:cs="Calibri"/>
                <w:b/>
                <w:bCs/>
                <w:color w:val="000080"/>
                <w:sz w:val="16"/>
                <w:szCs w:val="16"/>
                <w:lang w:val="es-ES"/>
              </w:rPr>
            </w:pPr>
            <w:r w:rsidRPr="00C45744">
              <w:rPr>
                <w:rFonts w:ascii="Verdana" w:hAnsi="Verdana" w:cs="Calibri"/>
                <w:b/>
                <w:bCs/>
                <w:color w:val="000080"/>
                <w:sz w:val="16"/>
                <w:szCs w:val="16"/>
                <w:lang w:val="es-ES"/>
              </w:rPr>
              <w:t>Importe máximo del préstamo disponible en relación con el valor del bien inmueble (1)</w:t>
            </w:r>
          </w:p>
        </w:tc>
        <w:tc>
          <w:tcPr>
            <w:tcW w:w="3172" w:type="dxa"/>
            <w:tcBorders>
              <w:top w:val="single" w:sz="4" w:space="0" w:color="1F497D"/>
              <w:left w:val="nil"/>
              <w:bottom w:val="single" w:sz="4" w:space="0" w:color="1F497D"/>
              <w:right w:val="single" w:sz="4" w:space="0" w:color="1F497D"/>
            </w:tcBorders>
            <w:shd w:val="clear" w:color="000000" w:fill="DCE6F1"/>
            <w:vAlign w:val="center"/>
            <w:hideMark/>
          </w:tcPr>
          <w:p w:rsidR="00A233DF" w:rsidRPr="00F703A9" w:rsidRDefault="00A233DF" w:rsidP="00BC5A3D">
            <w:pPr>
              <w:jc w:val="both"/>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Ejemplo: Un valor de un inmueble por </w:t>
            </w:r>
            <w:r>
              <w:rPr>
                <w:rFonts w:ascii="Verdana" w:hAnsi="Verdana" w:cs="Calibri"/>
                <w:b/>
                <w:bCs/>
                <w:color w:val="000080"/>
                <w:sz w:val="16"/>
                <w:szCs w:val="16"/>
                <w:lang w:val="es-ES"/>
              </w:rPr>
              <w:t>187.500</w:t>
            </w:r>
            <w:r w:rsidRPr="00F703A9">
              <w:rPr>
                <w:rFonts w:ascii="Verdana" w:hAnsi="Verdana" w:cs="Calibri"/>
                <w:b/>
                <w:bCs/>
                <w:color w:val="000080"/>
                <w:sz w:val="16"/>
                <w:szCs w:val="16"/>
                <w:lang w:val="es-ES"/>
              </w:rPr>
              <w:t xml:space="preserve"> euros permite un importe máximo de préstamo de :</w:t>
            </w:r>
          </w:p>
        </w:tc>
      </w:tr>
      <w:tr w:rsidR="00A233DF" w:rsidRPr="00F703A9" w:rsidTr="00BC5A3D">
        <w:trPr>
          <w:trHeight w:val="240"/>
        </w:trPr>
        <w:tc>
          <w:tcPr>
            <w:tcW w:w="313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UNIVERSAL hasta 80 %</w:t>
            </w:r>
          </w:p>
        </w:tc>
        <w:tc>
          <w:tcPr>
            <w:tcW w:w="2268" w:type="dxa"/>
            <w:tcBorders>
              <w:top w:val="nil"/>
              <w:left w:val="nil"/>
              <w:bottom w:val="single" w:sz="4" w:space="0" w:color="1F497D"/>
              <w:right w:val="single" w:sz="4" w:space="0" w:color="1F497D"/>
            </w:tcBorders>
            <w:shd w:val="clear" w:color="auto" w:fill="auto"/>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hasta el 80 %</w:t>
            </w:r>
            <w:r w:rsidRPr="00F703A9">
              <w:rPr>
                <w:rFonts w:ascii="Verdana" w:hAnsi="Verdana" w:cs="Calibri"/>
                <w:b/>
                <w:bCs/>
                <w:color w:val="000080"/>
                <w:sz w:val="16"/>
                <w:szCs w:val="16"/>
                <w:vertAlign w:val="superscript"/>
                <w:lang w:val="es-ES"/>
              </w:rPr>
              <w:t xml:space="preserve"> (2)</w:t>
            </w:r>
          </w:p>
        </w:tc>
        <w:tc>
          <w:tcPr>
            <w:tcW w:w="3172" w:type="dxa"/>
            <w:tcBorders>
              <w:top w:val="single" w:sz="4" w:space="0" w:color="1F497D"/>
              <w:left w:val="nil"/>
              <w:bottom w:val="single" w:sz="4" w:space="0" w:color="1F497D"/>
              <w:right w:val="single" w:sz="4" w:space="0" w:color="1F497D"/>
            </w:tcBorders>
            <w:shd w:val="clear" w:color="auto" w:fill="auto"/>
            <w:vAlign w:val="center"/>
            <w:hideMark/>
          </w:tcPr>
          <w:p w:rsidR="00A233DF" w:rsidRPr="00F703A9" w:rsidRDefault="00A233DF" w:rsidP="000C4900">
            <w:pPr>
              <w:jc w:val="center"/>
              <w:rPr>
                <w:rFonts w:ascii="Verdana" w:hAnsi="Verdana" w:cs="Calibri"/>
                <w:b/>
                <w:bCs/>
                <w:color w:val="000080"/>
                <w:sz w:val="16"/>
                <w:szCs w:val="16"/>
                <w:lang w:val="es-ES"/>
              </w:rPr>
            </w:pPr>
            <w:r w:rsidRPr="00F703A9">
              <w:rPr>
                <w:rFonts w:ascii="Verdana" w:hAnsi="Verdana" w:cs="Calibri"/>
                <w:b/>
                <w:bCs/>
                <w:color w:val="000080"/>
                <w:sz w:val="16"/>
                <w:szCs w:val="16"/>
                <w:lang w:val="es-ES"/>
              </w:rPr>
              <w:t>150.000,00 €</w:t>
            </w:r>
          </w:p>
        </w:tc>
      </w:tr>
      <w:tr w:rsidR="00A233DF" w:rsidRPr="00F703A9" w:rsidTr="00BC5A3D">
        <w:trPr>
          <w:trHeight w:val="240"/>
        </w:trPr>
        <w:tc>
          <w:tcPr>
            <w:tcW w:w="313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UNIVERSAL superior 80 %</w:t>
            </w:r>
          </w:p>
        </w:tc>
        <w:tc>
          <w:tcPr>
            <w:tcW w:w="2268" w:type="dxa"/>
            <w:tcBorders>
              <w:top w:val="nil"/>
              <w:left w:val="nil"/>
              <w:bottom w:val="single" w:sz="4" w:space="0" w:color="1F497D"/>
              <w:right w:val="single" w:sz="4" w:space="0" w:color="1F497D"/>
            </w:tcBorders>
            <w:shd w:val="clear" w:color="auto" w:fill="auto"/>
            <w:vAlign w:val="center"/>
            <w:hideMark/>
          </w:tcPr>
          <w:p w:rsidR="00A233DF" w:rsidRPr="00F703A9" w:rsidRDefault="00A233DF"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hasta el 100 %</w:t>
            </w:r>
            <w:r w:rsidRPr="00F703A9">
              <w:rPr>
                <w:rFonts w:ascii="Verdana" w:hAnsi="Verdana" w:cs="Calibri"/>
                <w:b/>
                <w:bCs/>
                <w:color w:val="000080"/>
                <w:sz w:val="16"/>
                <w:szCs w:val="16"/>
                <w:vertAlign w:val="superscript"/>
                <w:lang w:val="es-ES"/>
              </w:rPr>
              <w:t xml:space="preserve"> (2)</w:t>
            </w:r>
          </w:p>
        </w:tc>
        <w:tc>
          <w:tcPr>
            <w:tcW w:w="3172" w:type="dxa"/>
            <w:tcBorders>
              <w:top w:val="single" w:sz="4" w:space="0" w:color="1F497D"/>
              <w:left w:val="nil"/>
              <w:bottom w:val="single" w:sz="4" w:space="0" w:color="1F497D"/>
              <w:right w:val="single" w:sz="4" w:space="0" w:color="1F497D"/>
            </w:tcBorders>
            <w:shd w:val="clear" w:color="auto" w:fill="auto"/>
            <w:vAlign w:val="center"/>
            <w:hideMark/>
          </w:tcPr>
          <w:p w:rsidR="00A233DF" w:rsidRPr="00F703A9" w:rsidRDefault="00A233DF" w:rsidP="000C4900">
            <w:pPr>
              <w:jc w:val="center"/>
              <w:rPr>
                <w:rFonts w:ascii="Verdana" w:hAnsi="Verdana" w:cs="Calibri"/>
                <w:b/>
                <w:bCs/>
                <w:color w:val="000080"/>
                <w:sz w:val="16"/>
                <w:szCs w:val="16"/>
                <w:lang w:val="es-ES"/>
              </w:rPr>
            </w:pPr>
            <w:r w:rsidRPr="00F703A9">
              <w:rPr>
                <w:rFonts w:ascii="Verdana" w:hAnsi="Verdana" w:cs="Calibri"/>
                <w:b/>
                <w:bCs/>
                <w:color w:val="000080"/>
                <w:sz w:val="16"/>
                <w:szCs w:val="16"/>
                <w:lang w:val="es-ES"/>
              </w:rPr>
              <w:t>187.500,00 €</w:t>
            </w:r>
          </w:p>
        </w:tc>
      </w:tr>
      <w:tr w:rsidR="00A233DF" w:rsidRPr="00F703A9" w:rsidTr="00BC5A3D">
        <w:trPr>
          <w:trHeight w:val="450"/>
        </w:trPr>
        <w:tc>
          <w:tcPr>
            <w:tcW w:w="8575" w:type="dxa"/>
            <w:gridSpan w:val="3"/>
            <w:tcBorders>
              <w:top w:val="single" w:sz="4" w:space="0" w:color="1F497D"/>
              <w:left w:val="single" w:sz="4" w:space="0" w:color="1F497D"/>
              <w:bottom w:val="single" w:sz="4" w:space="0" w:color="1F497D"/>
              <w:right w:val="single" w:sz="4" w:space="0" w:color="1F497D"/>
            </w:tcBorders>
            <w:shd w:val="clear" w:color="auto" w:fill="auto"/>
            <w:vAlign w:val="center"/>
            <w:hideMark/>
          </w:tcPr>
          <w:p w:rsidR="00A233DF" w:rsidRPr="00F703A9" w:rsidRDefault="00A233DF" w:rsidP="000C4900">
            <w:pPr>
              <w:rPr>
                <w:rFonts w:ascii="Verdana" w:hAnsi="Verdana" w:cs="Calibri"/>
                <w:b/>
                <w:bCs/>
                <w:color w:val="1F497D"/>
                <w:sz w:val="14"/>
                <w:szCs w:val="14"/>
                <w:lang w:val="es-ES"/>
              </w:rPr>
            </w:pPr>
            <w:r w:rsidRPr="00F703A9">
              <w:rPr>
                <w:rFonts w:ascii="Verdana" w:hAnsi="Verdana" w:cs="Calibri"/>
                <w:b/>
                <w:bCs/>
                <w:color w:val="1F497D"/>
                <w:sz w:val="14"/>
                <w:szCs w:val="14"/>
                <w:lang w:val="es-ES"/>
              </w:rPr>
              <w:t>(1) El importe máximo a financiar será del valor de tasación o del valor de compraventa (si el valor de compraventa fuera inferior al valor de tasación)</w:t>
            </w:r>
            <w:r w:rsidRPr="00F703A9">
              <w:rPr>
                <w:rFonts w:ascii="Verdana" w:hAnsi="Verdana" w:cs="Calibri"/>
                <w:b/>
                <w:bCs/>
                <w:color w:val="1F497D"/>
                <w:sz w:val="14"/>
                <w:szCs w:val="14"/>
                <w:lang w:val="es-ES"/>
              </w:rPr>
              <w:br/>
              <w:t>(2) Este porcentaje tiene carácter de máximo y podrá verse reducido en función de la finalidad del préstamo y del inmueble a hipotecar</w:t>
            </w:r>
          </w:p>
        </w:tc>
      </w:tr>
    </w:tbl>
    <w:p w:rsidR="00434814" w:rsidRDefault="00434814" w:rsidP="008760B6">
      <w:pPr>
        <w:ind w:right="-55"/>
        <w:jc w:val="both"/>
        <w:rPr>
          <w:rFonts w:ascii="Verdana" w:hAnsi="Verdana"/>
        </w:rPr>
      </w:pPr>
    </w:p>
    <w:p w:rsidR="00434814" w:rsidRDefault="00F703A9" w:rsidP="00434814">
      <w:pPr>
        <w:numPr>
          <w:ilvl w:val="0"/>
          <w:numId w:val="1"/>
        </w:numPr>
        <w:ind w:right="-55"/>
        <w:jc w:val="both"/>
        <w:rPr>
          <w:rFonts w:ascii="Verdana" w:hAnsi="Verdana"/>
          <w:b/>
        </w:rPr>
      </w:pPr>
      <w:r w:rsidRPr="00A078EA">
        <w:rPr>
          <w:rFonts w:ascii="Verdana" w:hAnsi="Verdana"/>
          <w:b/>
        </w:rPr>
        <w:t xml:space="preserve"> </w:t>
      </w:r>
      <w:r w:rsidR="00434814" w:rsidRPr="00A078EA">
        <w:rPr>
          <w:rFonts w:ascii="Verdana" w:hAnsi="Verdana"/>
          <w:b/>
        </w:rPr>
        <w:t xml:space="preserve">Importe máximo del préstamo disponible en relación con el valor del </w:t>
      </w:r>
      <w:r w:rsidR="00A233DF">
        <w:rPr>
          <w:rFonts w:ascii="Verdana" w:hAnsi="Verdana"/>
          <w:b/>
        </w:rPr>
        <w:t>b</w:t>
      </w:r>
      <w:r w:rsidR="00434814" w:rsidRPr="00A078EA">
        <w:rPr>
          <w:rFonts w:ascii="Verdana" w:hAnsi="Verdana"/>
          <w:b/>
        </w:rPr>
        <w:t>ien inmueble:</w:t>
      </w:r>
    </w:p>
    <w:p w:rsidR="00350FF4" w:rsidRPr="00BC5A3D" w:rsidRDefault="00350FF4" w:rsidP="008760B6">
      <w:pPr>
        <w:ind w:left="644" w:right="-55"/>
        <w:jc w:val="both"/>
        <w:rPr>
          <w:rFonts w:ascii="Verdana" w:hAnsi="Verdana"/>
          <w:b/>
          <w:lang w:val="es-ES"/>
        </w:rPr>
      </w:pPr>
    </w:p>
    <w:p w:rsidR="00CC01AA" w:rsidDel="00B153F3" w:rsidRDefault="001720AF">
      <w:pPr>
        <w:rPr>
          <w:rFonts w:ascii="Verdana" w:hAnsi="Verdana"/>
          <w:b/>
        </w:rPr>
      </w:pPr>
      <w:r w:rsidDel="00B153F3">
        <w:rPr>
          <w:rFonts w:ascii="Verdana" w:hAnsi="Verdana"/>
          <w:b/>
        </w:rPr>
        <w:t xml:space="preserve"> </w:t>
      </w:r>
    </w:p>
    <w:p w:rsidR="00350FF4" w:rsidRDefault="00CC01AA">
      <w:pPr>
        <w:rPr>
          <w:rFonts w:ascii="Verdana" w:hAnsi="Verdana"/>
          <w:b/>
        </w:rPr>
      </w:pPr>
      <w:r w:rsidDel="00B153F3">
        <w:rPr>
          <w:rFonts w:ascii="Verdana" w:hAnsi="Verdana"/>
          <w:b/>
        </w:rPr>
        <w:t xml:space="preserve"> </w:t>
      </w:r>
    </w:p>
    <w:p w:rsidR="000C4900" w:rsidRDefault="000C4900">
      <w:pPr>
        <w:rPr>
          <w:rFonts w:ascii="Verdana" w:hAnsi="Verdana"/>
          <w:b/>
        </w:rPr>
      </w:pPr>
      <w:r>
        <w:rPr>
          <w:rFonts w:ascii="Verdana" w:hAnsi="Verdana"/>
          <w:b/>
        </w:rPr>
        <w:br w:type="page"/>
      </w:r>
    </w:p>
    <w:p w:rsidR="00434814" w:rsidRDefault="00434814" w:rsidP="008760B6">
      <w:pPr>
        <w:ind w:left="644" w:right="-55"/>
        <w:jc w:val="both"/>
        <w:rPr>
          <w:rFonts w:ascii="Verdana" w:hAnsi="Verdana"/>
          <w:b/>
        </w:rPr>
      </w:pPr>
    </w:p>
    <w:p w:rsidR="00434814" w:rsidRDefault="00434814" w:rsidP="00434814">
      <w:pPr>
        <w:numPr>
          <w:ilvl w:val="0"/>
          <w:numId w:val="1"/>
        </w:numPr>
        <w:ind w:right="-55"/>
        <w:jc w:val="both"/>
        <w:rPr>
          <w:rFonts w:ascii="Verdana" w:hAnsi="Verdana"/>
          <w:b/>
        </w:rPr>
      </w:pPr>
      <w:r w:rsidRPr="00E1591A">
        <w:rPr>
          <w:rFonts w:ascii="Verdana" w:hAnsi="Verdana"/>
          <w:b/>
        </w:rPr>
        <w:t>Finalidad:</w:t>
      </w:r>
      <w:r w:rsidRPr="00B76F58">
        <w:rPr>
          <w:rFonts w:ascii="Verdana" w:hAnsi="Verdana"/>
          <w:b/>
        </w:rPr>
        <w:t xml:space="preserve"> </w:t>
      </w:r>
    </w:p>
    <w:p w:rsidR="00434814" w:rsidRPr="005567CA" w:rsidRDefault="00434814" w:rsidP="00434814">
      <w:pPr>
        <w:numPr>
          <w:ilvl w:val="1"/>
          <w:numId w:val="1"/>
        </w:numPr>
        <w:ind w:right="-55"/>
        <w:jc w:val="both"/>
        <w:rPr>
          <w:rFonts w:ascii="Verdana" w:hAnsi="Verdana"/>
          <w:b/>
        </w:rPr>
      </w:pPr>
      <w:r w:rsidRPr="0049305D">
        <w:rPr>
          <w:rFonts w:ascii="Verdana" w:hAnsi="Verdana"/>
          <w:b/>
          <w:color w:val="1F497D"/>
        </w:rPr>
        <w:t>Hipoteca Hogar</w:t>
      </w:r>
      <w:r w:rsidR="005A3460">
        <w:rPr>
          <w:rFonts w:ascii="Verdana" w:hAnsi="Verdana"/>
        </w:rPr>
        <w:t xml:space="preserve">, </w:t>
      </w:r>
      <w:r w:rsidR="005A3460" w:rsidRPr="0049305D">
        <w:rPr>
          <w:rFonts w:ascii="Verdana" w:hAnsi="Verdana"/>
          <w:b/>
          <w:color w:val="1F497D"/>
        </w:rPr>
        <w:t>Mixta</w:t>
      </w:r>
      <w:r w:rsidR="005A3460">
        <w:rPr>
          <w:rFonts w:ascii="Verdana" w:hAnsi="Verdana"/>
          <w:b/>
          <w:color w:val="1F497D"/>
        </w:rPr>
        <w:t xml:space="preserve"> </w:t>
      </w:r>
      <w:r w:rsidR="005A3460" w:rsidRPr="0049305D">
        <w:rPr>
          <w:rFonts w:ascii="Verdana" w:hAnsi="Verdana"/>
          <w:b/>
          <w:color w:val="1F497D"/>
        </w:rPr>
        <w:t xml:space="preserve">o </w:t>
      </w:r>
      <w:r w:rsidR="005A3460">
        <w:rPr>
          <w:rFonts w:ascii="Verdana" w:hAnsi="Verdana"/>
          <w:b/>
          <w:color w:val="1F497D"/>
        </w:rPr>
        <w:t>F</w:t>
      </w:r>
      <w:r w:rsidR="005A3460" w:rsidRPr="0049305D">
        <w:rPr>
          <w:rFonts w:ascii="Verdana" w:hAnsi="Verdana"/>
          <w:b/>
          <w:color w:val="1F497D"/>
        </w:rPr>
        <w:t xml:space="preserve">ija </w:t>
      </w:r>
      <w:r>
        <w:rPr>
          <w:rFonts w:ascii="Verdana" w:hAnsi="Verdana"/>
        </w:rPr>
        <w:t>se concede para la financiación de la adquisición de fincas urbanas destinadas a vivienda habitual.</w:t>
      </w:r>
    </w:p>
    <w:p w:rsidR="00434814" w:rsidRPr="00694B80" w:rsidRDefault="00434814" w:rsidP="008760B6">
      <w:pPr>
        <w:ind w:left="1800" w:right="-55"/>
        <w:jc w:val="both"/>
        <w:rPr>
          <w:rFonts w:ascii="Verdana" w:hAnsi="Verdana"/>
          <w:b/>
        </w:rPr>
      </w:pPr>
    </w:p>
    <w:p w:rsidR="00434814" w:rsidRPr="00694B80" w:rsidRDefault="00434814" w:rsidP="00434814">
      <w:pPr>
        <w:numPr>
          <w:ilvl w:val="1"/>
          <w:numId w:val="1"/>
        </w:numPr>
        <w:ind w:right="-55"/>
        <w:jc w:val="both"/>
        <w:rPr>
          <w:rFonts w:ascii="Verdana" w:hAnsi="Verdana"/>
          <w:b/>
        </w:rPr>
      </w:pPr>
      <w:r w:rsidRPr="0049305D">
        <w:rPr>
          <w:rFonts w:ascii="Verdana" w:hAnsi="Verdana"/>
          <w:b/>
          <w:color w:val="1F497D"/>
        </w:rPr>
        <w:t xml:space="preserve">Hipoteca </w:t>
      </w:r>
      <w:r>
        <w:rPr>
          <w:rFonts w:ascii="Verdana" w:hAnsi="Verdana"/>
          <w:b/>
          <w:color w:val="1F497D"/>
        </w:rPr>
        <w:t xml:space="preserve">Universal </w:t>
      </w:r>
      <w:r>
        <w:rPr>
          <w:rFonts w:ascii="Verdana" w:hAnsi="Verdana"/>
        </w:rPr>
        <w:t>se concede para la financiación de la adquisición de fincas urbanas destinadas a vivienda habitual, segunda vivienda y para otras financiaciones.</w:t>
      </w:r>
    </w:p>
    <w:p w:rsidR="00434814" w:rsidRPr="00B76F58" w:rsidRDefault="00434814" w:rsidP="008760B6">
      <w:pPr>
        <w:ind w:left="644" w:right="-55"/>
        <w:jc w:val="both"/>
        <w:rPr>
          <w:rFonts w:ascii="Verdana" w:hAnsi="Verdana"/>
          <w:b/>
        </w:rPr>
      </w:pPr>
    </w:p>
    <w:p w:rsidR="00434814" w:rsidRDefault="00434814" w:rsidP="00434814">
      <w:pPr>
        <w:numPr>
          <w:ilvl w:val="0"/>
          <w:numId w:val="1"/>
        </w:numPr>
        <w:ind w:right="-55"/>
        <w:jc w:val="both"/>
        <w:rPr>
          <w:rFonts w:ascii="Verdana" w:hAnsi="Verdana"/>
        </w:rPr>
      </w:pPr>
      <w:r w:rsidRPr="00694B80">
        <w:rPr>
          <w:rFonts w:ascii="Verdana" w:hAnsi="Verdana"/>
          <w:b/>
        </w:rPr>
        <w:t xml:space="preserve">Tipo de préstamo: </w:t>
      </w:r>
      <w:r w:rsidRPr="00694B80">
        <w:rPr>
          <w:rFonts w:ascii="Verdana" w:hAnsi="Verdana"/>
        </w:rPr>
        <w:t>Préstamo garantía hipotecaria con reembolso creciente (método francés), mediante cuotas mensuales constantes, comprensivas de capital e intereses.</w:t>
      </w:r>
    </w:p>
    <w:p w:rsidR="00434814" w:rsidRPr="00694B80" w:rsidRDefault="00434814" w:rsidP="008760B6">
      <w:pPr>
        <w:ind w:left="644" w:right="-55"/>
        <w:jc w:val="both"/>
        <w:rPr>
          <w:rFonts w:ascii="Verdana" w:hAnsi="Verdana"/>
        </w:rPr>
      </w:pPr>
    </w:p>
    <w:p w:rsidR="00434814" w:rsidRDefault="00434814" w:rsidP="00434814">
      <w:pPr>
        <w:numPr>
          <w:ilvl w:val="0"/>
          <w:numId w:val="1"/>
        </w:numPr>
        <w:ind w:right="-55"/>
        <w:jc w:val="both"/>
        <w:rPr>
          <w:rFonts w:ascii="Verdana" w:hAnsi="Verdana"/>
          <w:b/>
        </w:rPr>
      </w:pPr>
      <w:r w:rsidRPr="00603CEF">
        <w:rPr>
          <w:rFonts w:ascii="Verdana" w:hAnsi="Verdana"/>
          <w:b/>
        </w:rPr>
        <w:t xml:space="preserve">Plazo total de amortización: </w:t>
      </w:r>
    </w:p>
    <w:p w:rsidR="00E64567" w:rsidRDefault="009A1FB9" w:rsidP="008760B6">
      <w:pPr>
        <w:ind w:right="-55"/>
        <w:jc w:val="both"/>
        <w:rPr>
          <w:lang w:val="es-ES" w:eastAsia="en-US"/>
        </w:rPr>
      </w:pPr>
      <w:r>
        <w:t xml:space="preserve"> </w:t>
      </w:r>
    </w:p>
    <w:tbl>
      <w:tblPr>
        <w:tblpPr w:leftFromText="141" w:rightFromText="141" w:vertAnchor="text" w:horzAnchor="margin" w:tblpXSpec="center" w:tblpY="113"/>
        <w:tblW w:w="5260" w:type="dxa"/>
        <w:tblCellMar>
          <w:left w:w="0" w:type="dxa"/>
          <w:right w:w="0" w:type="dxa"/>
        </w:tblCellMar>
        <w:tblLook w:val="04A0" w:firstRow="1" w:lastRow="0" w:firstColumn="1" w:lastColumn="0" w:noHBand="0" w:noVBand="1"/>
      </w:tblPr>
      <w:tblGrid>
        <w:gridCol w:w="3134"/>
        <w:gridCol w:w="2126"/>
      </w:tblGrid>
      <w:tr w:rsidR="00B82356" w:rsidTr="00BC5A3D">
        <w:trPr>
          <w:trHeight w:val="384"/>
        </w:trPr>
        <w:tc>
          <w:tcPr>
            <w:tcW w:w="3134" w:type="dxa"/>
            <w:tcBorders>
              <w:top w:val="single" w:sz="4" w:space="0" w:color="1F497D"/>
              <w:left w:val="single" w:sz="4" w:space="0" w:color="1F497D"/>
              <w:bottom w:val="single" w:sz="4" w:space="0" w:color="1F497D"/>
              <w:right w:val="single" w:sz="4" w:space="0" w:color="1F497D"/>
            </w:tcBorders>
            <w:shd w:val="clear" w:color="000000" w:fill="99CCFF"/>
            <w:tcMar>
              <w:top w:w="15" w:type="dxa"/>
              <w:left w:w="15" w:type="dxa"/>
              <w:bottom w:w="0" w:type="dxa"/>
              <w:right w:w="15" w:type="dxa"/>
            </w:tcMar>
            <w:vAlign w:val="center"/>
            <w:hideMark/>
          </w:tcPr>
          <w:p w:rsidR="00B82356" w:rsidRDefault="00B82356" w:rsidP="00B82356">
            <w:pPr>
              <w:rPr>
                <w:rFonts w:ascii="Verdana" w:hAnsi="Verdana" w:cs="Calibri"/>
                <w:b/>
                <w:bCs/>
                <w:color w:val="000080"/>
                <w:sz w:val="16"/>
                <w:szCs w:val="16"/>
              </w:rPr>
            </w:pPr>
            <w:r>
              <w:rPr>
                <w:rFonts w:ascii="Verdana" w:hAnsi="Verdana" w:cs="Calibri"/>
                <w:b/>
                <w:bCs/>
                <w:color w:val="000080"/>
                <w:sz w:val="16"/>
                <w:szCs w:val="16"/>
              </w:rPr>
              <w:t>PRÉSTAMOS CON GARANTÍA HIPOTECARIA PARA ADQUISICIÓN DE VIVIENDA HABITUAL</w:t>
            </w:r>
          </w:p>
        </w:tc>
        <w:tc>
          <w:tcPr>
            <w:tcW w:w="2126" w:type="dxa"/>
            <w:tcBorders>
              <w:top w:val="single" w:sz="4" w:space="0" w:color="1F497D"/>
              <w:left w:val="nil"/>
              <w:bottom w:val="single" w:sz="4" w:space="0" w:color="1F497D"/>
              <w:right w:val="single" w:sz="4" w:space="0" w:color="1F497D"/>
            </w:tcBorders>
            <w:shd w:val="clear" w:color="000000" w:fill="DCE6F1"/>
            <w:tcMar>
              <w:top w:w="15" w:type="dxa"/>
              <w:left w:w="15" w:type="dxa"/>
              <w:bottom w:w="0" w:type="dxa"/>
              <w:right w:w="15" w:type="dxa"/>
            </w:tcMar>
            <w:vAlign w:val="center"/>
            <w:hideMark/>
          </w:tcPr>
          <w:p w:rsidR="00B82356" w:rsidRDefault="00B82356" w:rsidP="00B82356">
            <w:pPr>
              <w:rPr>
                <w:rFonts w:ascii="Verdana" w:hAnsi="Verdana" w:cs="Calibri"/>
                <w:b/>
                <w:bCs/>
                <w:color w:val="000080"/>
                <w:sz w:val="16"/>
                <w:szCs w:val="16"/>
              </w:rPr>
            </w:pPr>
            <w:r>
              <w:rPr>
                <w:rFonts w:ascii="Verdana" w:hAnsi="Verdana" w:cs="Calibri"/>
                <w:b/>
                <w:bCs/>
                <w:color w:val="000080"/>
                <w:sz w:val="16"/>
                <w:szCs w:val="16"/>
              </w:rPr>
              <w:t>Plazo máximo de amortización</w:t>
            </w:r>
          </w:p>
        </w:tc>
      </w:tr>
      <w:tr w:rsidR="000C4900" w:rsidTr="00BC5A3D">
        <w:trPr>
          <w:trHeight w:val="204"/>
        </w:trPr>
        <w:tc>
          <w:tcPr>
            <w:tcW w:w="3134" w:type="dxa"/>
            <w:tcBorders>
              <w:top w:val="single" w:sz="4" w:space="0" w:color="1F497D"/>
              <w:left w:val="single" w:sz="4" w:space="0" w:color="1F497D"/>
              <w:bottom w:val="single" w:sz="4" w:space="0" w:color="1F497D"/>
              <w:right w:val="single" w:sz="4" w:space="0" w:color="1F497D"/>
            </w:tcBorders>
            <w:shd w:val="clear" w:color="000000" w:fill="EEECE1"/>
            <w:tcMar>
              <w:top w:w="15" w:type="dxa"/>
              <w:left w:w="15" w:type="dxa"/>
              <w:bottom w:w="0" w:type="dxa"/>
              <w:right w:w="15" w:type="dxa"/>
            </w:tcMar>
            <w:vAlign w:val="center"/>
          </w:tcPr>
          <w:p w:rsidR="000C4900" w:rsidRDefault="000C4900" w:rsidP="000C4900">
            <w:pPr>
              <w:rPr>
                <w:rFonts w:ascii="Verdana" w:hAnsi="Verdana" w:cs="Calibri"/>
                <w:b/>
                <w:bCs/>
                <w:color w:val="000080"/>
                <w:sz w:val="16"/>
                <w:szCs w:val="16"/>
              </w:rPr>
            </w:pPr>
            <w:r w:rsidRPr="00F703A9">
              <w:rPr>
                <w:rFonts w:ascii="Verdana" w:hAnsi="Verdana" w:cs="Calibri"/>
                <w:b/>
                <w:bCs/>
                <w:color w:val="000080"/>
                <w:sz w:val="16"/>
                <w:szCs w:val="16"/>
                <w:lang w:val="es-ES"/>
              </w:rPr>
              <w:t>HOGAR hasta 60 %</w:t>
            </w:r>
          </w:p>
        </w:tc>
        <w:tc>
          <w:tcPr>
            <w:tcW w:w="2126" w:type="dxa"/>
            <w:vMerge w:val="restart"/>
            <w:tcBorders>
              <w:top w:val="nil"/>
              <w:left w:val="single" w:sz="4" w:space="0" w:color="1F497D"/>
              <w:right w:val="single" w:sz="4" w:space="0" w:color="1F497D"/>
            </w:tcBorders>
            <w:shd w:val="clear" w:color="auto" w:fill="auto"/>
            <w:tcMar>
              <w:top w:w="15" w:type="dxa"/>
              <w:left w:w="15" w:type="dxa"/>
              <w:bottom w:w="0" w:type="dxa"/>
              <w:right w:w="15" w:type="dxa"/>
            </w:tcMar>
            <w:vAlign w:val="center"/>
          </w:tcPr>
          <w:p w:rsidR="000C4900" w:rsidRDefault="000C4900" w:rsidP="000C4900">
            <w:pPr>
              <w:rPr>
                <w:rFonts w:ascii="Verdana" w:hAnsi="Verdana" w:cs="Calibri"/>
                <w:b/>
                <w:bCs/>
                <w:color w:val="000080"/>
                <w:sz w:val="16"/>
                <w:szCs w:val="16"/>
              </w:rPr>
            </w:pPr>
            <w:r>
              <w:rPr>
                <w:rFonts w:ascii="Verdana" w:hAnsi="Verdana" w:cs="Calibri"/>
                <w:b/>
                <w:bCs/>
                <w:color w:val="000080"/>
                <w:sz w:val="16"/>
                <w:szCs w:val="16"/>
              </w:rPr>
              <w:t>hasta 30 años</w:t>
            </w:r>
          </w:p>
        </w:tc>
      </w:tr>
      <w:tr w:rsidR="000C4900" w:rsidTr="00BC5A3D">
        <w:trPr>
          <w:trHeight w:val="204"/>
        </w:trPr>
        <w:tc>
          <w:tcPr>
            <w:tcW w:w="3134" w:type="dxa"/>
            <w:tcBorders>
              <w:top w:val="single" w:sz="4" w:space="0" w:color="1F497D"/>
              <w:left w:val="single" w:sz="4" w:space="0" w:color="1F497D"/>
              <w:bottom w:val="single" w:sz="4" w:space="0" w:color="1F497D"/>
              <w:right w:val="single" w:sz="4" w:space="0" w:color="1F497D"/>
            </w:tcBorders>
            <w:shd w:val="clear" w:color="000000" w:fill="EEECE1"/>
            <w:tcMar>
              <w:top w:w="15" w:type="dxa"/>
              <w:left w:w="15" w:type="dxa"/>
              <w:bottom w:w="0" w:type="dxa"/>
              <w:right w:w="15" w:type="dxa"/>
            </w:tcMar>
            <w:vAlign w:val="center"/>
            <w:hideMark/>
          </w:tcPr>
          <w:p w:rsidR="000C4900" w:rsidRDefault="000C4900" w:rsidP="000C4900">
            <w:pPr>
              <w:rPr>
                <w:rFonts w:ascii="Verdana" w:hAnsi="Verdana" w:cs="Calibri"/>
                <w:b/>
                <w:bCs/>
                <w:color w:val="000080"/>
                <w:sz w:val="16"/>
                <w:szCs w:val="16"/>
              </w:rPr>
            </w:pPr>
            <w:r w:rsidRPr="00F703A9">
              <w:rPr>
                <w:rFonts w:ascii="Verdana" w:hAnsi="Verdana" w:cs="Calibri"/>
                <w:b/>
                <w:bCs/>
                <w:color w:val="000080"/>
                <w:sz w:val="16"/>
                <w:szCs w:val="16"/>
                <w:lang w:val="es-ES"/>
              </w:rPr>
              <w:t>HOGAR hasta 80 %</w:t>
            </w:r>
          </w:p>
        </w:tc>
        <w:tc>
          <w:tcPr>
            <w:tcW w:w="2126" w:type="dxa"/>
            <w:vMerge/>
            <w:tcBorders>
              <w:left w:val="single" w:sz="4" w:space="0" w:color="1F497D"/>
              <w:right w:val="single" w:sz="4" w:space="0" w:color="1F497D"/>
            </w:tcBorders>
            <w:shd w:val="clear" w:color="auto" w:fill="auto"/>
            <w:tcMar>
              <w:top w:w="15" w:type="dxa"/>
              <w:left w:w="15" w:type="dxa"/>
              <w:bottom w:w="0" w:type="dxa"/>
              <w:right w:w="15" w:type="dxa"/>
            </w:tcMar>
            <w:vAlign w:val="center"/>
            <w:hideMark/>
          </w:tcPr>
          <w:p w:rsidR="000C4900" w:rsidRDefault="000C4900" w:rsidP="000C4900">
            <w:pPr>
              <w:rPr>
                <w:rFonts w:ascii="Verdana" w:hAnsi="Verdana" w:cs="Calibri"/>
                <w:b/>
                <w:bCs/>
                <w:color w:val="000080"/>
                <w:sz w:val="16"/>
                <w:szCs w:val="16"/>
              </w:rPr>
            </w:pPr>
          </w:p>
        </w:tc>
      </w:tr>
      <w:tr w:rsidR="000C4900" w:rsidTr="00BC5A3D">
        <w:trPr>
          <w:trHeight w:val="204"/>
        </w:trPr>
        <w:tc>
          <w:tcPr>
            <w:tcW w:w="3134" w:type="dxa"/>
            <w:tcBorders>
              <w:top w:val="single" w:sz="4" w:space="0" w:color="1F497D"/>
              <w:left w:val="single" w:sz="4" w:space="0" w:color="1F497D"/>
              <w:bottom w:val="single" w:sz="4" w:space="0" w:color="1F497D"/>
              <w:right w:val="single" w:sz="4" w:space="0" w:color="1F497D"/>
            </w:tcBorders>
            <w:shd w:val="clear" w:color="000000" w:fill="EEECE1"/>
            <w:tcMar>
              <w:top w:w="15" w:type="dxa"/>
              <w:left w:w="15" w:type="dxa"/>
              <w:bottom w:w="0" w:type="dxa"/>
              <w:right w:w="15" w:type="dxa"/>
            </w:tcMar>
            <w:vAlign w:val="center"/>
            <w:hideMark/>
          </w:tcPr>
          <w:p w:rsidR="000C4900" w:rsidRDefault="000C4900" w:rsidP="000C4900">
            <w:pPr>
              <w:rPr>
                <w:rFonts w:ascii="Verdana" w:hAnsi="Verdana" w:cs="Calibri"/>
                <w:b/>
                <w:bCs/>
                <w:color w:val="000080"/>
                <w:sz w:val="16"/>
                <w:szCs w:val="16"/>
              </w:rPr>
            </w:pPr>
            <w:r w:rsidRPr="00F703A9">
              <w:rPr>
                <w:rFonts w:ascii="Verdana" w:hAnsi="Verdana" w:cs="Calibri"/>
                <w:b/>
                <w:bCs/>
                <w:color w:val="000080"/>
                <w:sz w:val="16"/>
                <w:szCs w:val="16"/>
                <w:lang w:val="es-ES"/>
              </w:rPr>
              <w:t xml:space="preserve">MIXTA </w:t>
            </w:r>
            <w:r>
              <w:rPr>
                <w:rFonts w:ascii="Verdana" w:hAnsi="Verdana" w:cs="Calibri"/>
                <w:b/>
                <w:bCs/>
                <w:color w:val="000080"/>
                <w:sz w:val="16"/>
                <w:szCs w:val="16"/>
                <w:lang w:val="es-ES"/>
              </w:rPr>
              <w:t>- 5</w:t>
            </w:r>
          </w:p>
        </w:tc>
        <w:tc>
          <w:tcPr>
            <w:tcW w:w="2126" w:type="dxa"/>
            <w:vMerge/>
            <w:tcBorders>
              <w:left w:val="single" w:sz="4" w:space="0" w:color="1F497D"/>
              <w:right w:val="single" w:sz="4" w:space="0" w:color="1F497D"/>
            </w:tcBorders>
            <w:vAlign w:val="center"/>
            <w:hideMark/>
          </w:tcPr>
          <w:p w:rsidR="000C4900" w:rsidRDefault="000C4900" w:rsidP="000C4900">
            <w:pPr>
              <w:rPr>
                <w:rFonts w:ascii="Verdana" w:hAnsi="Verdana" w:cs="Calibri"/>
                <w:b/>
                <w:bCs/>
                <w:color w:val="000080"/>
                <w:sz w:val="16"/>
                <w:szCs w:val="16"/>
              </w:rPr>
            </w:pPr>
          </w:p>
        </w:tc>
      </w:tr>
      <w:tr w:rsidR="000C4900" w:rsidTr="00BC5A3D">
        <w:trPr>
          <w:trHeight w:val="204"/>
        </w:trPr>
        <w:tc>
          <w:tcPr>
            <w:tcW w:w="3134" w:type="dxa"/>
            <w:tcBorders>
              <w:top w:val="single" w:sz="4" w:space="0" w:color="1F497D"/>
              <w:left w:val="single" w:sz="4" w:space="0" w:color="1F497D"/>
              <w:bottom w:val="single" w:sz="4" w:space="0" w:color="1F497D"/>
              <w:right w:val="single" w:sz="4" w:space="0" w:color="1F497D"/>
            </w:tcBorders>
            <w:shd w:val="clear" w:color="000000" w:fill="EEECE1"/>
            <w:tcMar>
              <w:top w:w="15" w:type="dxa"/>
              <w:left w:w="15" w:type="dxa"/>
              <w:bottom w:w="0" w:type="dxa"/>
              <w:right w:w="15" w:type="dxa"/>
            </w:tcMar>
            <w:vAlign w:val="center"/>
            <w:hideMark/>
          </w:tcPr>
          <w:p w:rsidR="000C4900" w:rsidRDefault="000C4900" w:rsidP="000C4900">
            <w:pPr>
              <w:rPr>
                <w:rFonts w:ascii="Verdana" w:hAnsi="Verdana" w:cs="Calibri"/>
                <w:b/>
                <w:bCs/>
                <w:color w:val="000080"/>
                <w:sz w:val="16"/>
                <w:szCs w:val="16"/>
              </w:rPr>
            </w:pPr>
            <w:r w:rsidRPr="00F703A9">
              <w:rPr>
                <w:rFonts w:ascii="Verdana" w:hAnsi="Verdana" w:cs="Calibri"/>
                <w:b/>
                <w:bCs/>
                <w:color w:val="000080"/>
                <w:sz w:val="16"/>
                <w:szCs w:val="16"/>
                <w:lang w:val="es-ES"/>
              </w:rPr>
              <w:t xml:space="preserve">MIXTA </w:t>
            </w:r>
            <w:r>
              <w:rPr>
                <w:rFonts w:ascii="Verdana" w:hAnsi="Verdana" w:cs="Calibri"/>
                <w:b/>
                <w:bCs/>
                <w:color w:val="000080"/>
                <w:sz w:val="16"/>
                <w:szCs w:val="16"/>
                <w:lang w:val="es-ES"/>
              </w:rPr>
              <w:t>- 10</w:t>
            </w:r>
          </w:p>
        </w:tc>
        <w:tc>
          <w:tcPr>
            <w:tcW w:w="2126" w:type="dxa"/>
            <w:vMerge/>
            <w:tcBorders>
              <w:left w:val="single" w:sz="4" w:space="0" w:color="1F497D"/>
              <w:right w:val="single" w:sz="4" w:space="0" w:color="1F497D"/>
            </w:tcBorders>
            <w:vAlign w:val="center"/>
            <w:hideMark/>
          </w:tcPr>
          <w:p w:rsidR="000C4900" w:rsidRDefault="000C4900" w:rsidP="000C4900">
            <w:pPr>
              <w:rPr>
                <w:rFonts w:ascii="Verdana" w:hAnsi="Verdana" w:cs="Calibri"/>
                <w:b/>
                <w:bCs/>
                <w:color w:val="000080"/>
                <w:sz w:val="16"/>
                <w:szCs w:val="16"/>
              </w:rPr>
            </w:pPr>
          </w:p>
        </w:tc>
      </w:tr>
      <w:tr w:rsidR="000C4900" w:rsidTr="00BC5A3D">
        <w:trPr>
          <w:trHeight w:val="204"/>
        </w:trPr>
        <w:tc>
          <w:tcPr>
            <w:tcW w:w="3134" w:type="dxa"/>
            <w:tcBorders>
              <w:top w:val="single" w:sz="4" w:space="0" w:color="1F497D"/>
              <w:left w:val="single" w:sz="4" w:space="0" w:color="1F497D"/>
              <w:bottom w:val="single" w:sz="4" w:space="0" w:color="1F497D"/>
              <w:right w:val="single" w:sz="4" w:space="0" w:color="1F497D"/>
            </w:tcBorders>
            <w:shd w:val="clear" w:color="000000" w:fill="EEECE1"/>
            <w:tcMar>
              <w:top w:w="15" w:type="dxa"/>
              <w:left w:w="15" w:type="dxa"/>
              <w:bottom w:w="0" w:type="dxa"/>
              <w:right w:w="15" w:type="dxa"/>
            </w:tcMar>
            <w:vAlign w:val="center"/>
            <w:hideMark/>
          </w:tcPr>
          <w:p w:rsidR="000C4900" w:rsidRDefault="000C4900" w:rsidP="000C4900">
            <w:pPr>
              <w:rPr>
                <w:rFonts w:ascii="Verdana" w:hAnsi="Verdana" w:cs="Calibri"/>
                <w:b/>
                <w:bCs/>
                <w:color w:val="000080"/>
                <w:sz w:val="16"/>
                <w:szCs w:val="16"/>
              </w:rPr>
            </w:pPr>
            <w:r w:rsidRPr="00F703A9">
              <w:rPr>
                <w:rFonts w:ascii="Verdana" w:hAnsi="Verdana" w:cs="Calibri"/>
                <w:b/>
                <w:bCs/>
                <w:color w:val="000080"/>
                <w:sz w:val="16"/>
                <w:szCs w:val="16"/>
                <w:lang w:val="es-ES"/>
              </w:rPr>
              <w:t xml:space="preserve">MIXTA </w:t>
            </w:r>
            <w:r>
              <w:rPr>
                <w:rFonts w:ascii="Verdana" w:hAnsi="Verdana" w:cs="Calibri"/>
                <w:b/>
                <w:bCs/>
                <w:color w:val="000080"/>
                <w:sz w:val="16"/>
                <w:szCs w:val="16"/>
                <w:lang w:val="es-ES"/>
              </w:rPr>
              <w:t>- 15</w:t>
            </w:r>
          </w:p>
        </w:tc>
        <w:tc>
          <w:tcPr>
            <w:tcW w:w="2126" w:type="dxa"/>
            <w:vMerge/>
            <w:tcBorders>
              <w:left w:val="single" w:sz="4" w:space="0" w:color="1F497D"/>
              <w:bottom w:val="single" w:sz="4" w:space="0" w:color="1F497D"/>
              <w:right w:val="single" w:sz="4" w:space="0" w:color="1F497D"/>
            </w:tcBorders>
            <w:vAlign w:val="center"/>
            <w:hideMark/>
          </w:tcPr>
          <w:p w:rsidR="000C4900" w:rsidRDefault="000C4900" w:rsidP="000C4900">
            <w:pPr>
              <w:rPr>
                <w:rFonts w:ascii="Verdana" w:hAnsi="Verdana" w:cs="Calibri"/>
                <w:b/>
                <w:bCs/>
                <w:color w:val="000080"/>
                <w:sz w:val="16"/>
                <w:szCs w:val="16"/>
              </w:rPr>
            </w:pPr>
          </w:p>
        </w:tc>
      </w:tr>
      <w:tr w:rsidR="000C4900" w:rsidTr="00BC5A3D">
        <w:trPr>
          <w:trHeight w:val="204"/>
        </w:trPr>
        <w:tc>
          <w:tcPr>
            <w:tcW w:w="3134" w:type="dxa"/>
            <w:tcBorders>
              <w:top w:val="single" w:sz="4" w:space="0" w:color="1F497D"/>
              <w:left w:val="single" w:sz="4" w:space="0" w:color="1F497D"/>
              <w:bottom w:val="single" w:sz="4" w:space="0" w:color="1F497D"/>
              <w:right w:val="single" w:sz="4" w:space="0" w:color="1F497D"/>
            </w:tcBorders>
            <w:shd w:val="clear" w:color="000000" w:fill="EEECE1"/>
            <w:tcMar>
              <w:top w:w="15" w:type="dxa"/>
              <w:left w:w="15" w:type="dxa"/>
              <w:bottom w:w="0" w:type="dxa"/>
              <w:right w:w="15" w:type="dxa"/>
            </w:tcMar>
            <w:vAlign w:val="center"/>
            <w:hideMark/>
          </w:tcPr>
          <w:p w:rsidR="000C4900" w:rsidRDefault="000C4900" w:rsidP="000C4900">
            <w:pPr>
              <w:rPr>
                <w:rFonts w:ascii="Verdana" w:hAnsi="Verdana" w:cs="Calibri"/>
                <w:b/>
                <w:bCs/>
                <w:color w:val="000080"/>
                <w:sz w:val="16"/>
                <w:szCs w:val="16"/>
              </w:rPr>
            </w:pPr>
            <w:r w:rsidRPr="00F703A9">
              <w:rPr>
                <w:rFonts w:ascii="Verdana" w:hAnsi="Verdana" w:cs="Calibri"/>
                <w:b/>
                <w:bCs/>
                <w:color w:val="000080"/>
                <w:sz w:val="16"/>
                <w:szCs w:val="16"/>
                <w:lang w:val="es-ES"/>
              </w:rPr>
              <w:t xml:space="preserve">FIJA </w:t>
            </w:r>
            <w:r>
              <w:rPr>
                <w:rFonts w:ascii="Verdana" w:hAnsi="Verdana" w:cs="Calibri"/>
                <w:b/>
                <w:bCs/>
                <w:color w:val="000080"/>
                <w:sz w:val="16"/>
                <w:szCs w:val="16"/>
                <w:lang w:val="es-ES"/>
              </w:rPr>
              <w:t xml:space="preserve">-15 </w:t>
            </w:r>
          </w:p>
        </w:tc>
        <w:tc>
          <w:tcPr>
            <w:tcW w:w="2126" w:type="dxa"/>
            <w:tcBorders>
              <w:top w:val="nil"/>
              <w:left w:val="nil"/>
              <w:bottom w:val="single" w:sz="4" w:space="0" w:color="1F497D"/>
              <w:right w:val="single" w:sz="4" w:space="0" w:color="1F497D"/>
            </w:tcBorders>
            <w:shd w:val="clear" w:color="auto" w:fill="auto"/>
            <w:tcMar>
              <w:top w:w="15" w:type="dxa"/>
              <w:left w:w="15" w:type="dxa"/>
              <w:bottom w:w="0" w:type="dxa"/>
              <w:right w:w="15" w:type="dxa"/>
            </w:tcMar>
            <w:vAlign w:val="center"/>
            <w:hideMark/>
          </w:tcPr>
          <w:p w:rsidR="000C4900" w:rsidRDefault="000C4900" w:rsidP="000C4900">
            <w:pPr>
              <w:rPr>
                <w:rFonts w:ascii="Verdana" w:hAnsi="Verdana" w:cs="Calibri"/>
                <w:b/>
                <w:bCs/>
                <w:color w:val="000080"/>
                <w:sz w:val="16"/>
                <w:szCs w:val="16"/>
              </w:rPr>
            </w:pPr>
            <w:r>
              <w:rPr>
                <w:rFonts w:ascii="Verdana" w:hAnsi="Verdana" w:cs="Calibri"/>
                <w:b/>
                <w:bCs/>
                <w:color w:val="000080"/>
                <w:sz w:val="16"/>
                <w:szCs w:val="16"/>
              </w:rPr>
              <w:t>hasta 15 años</w:t>
            </w:r>
          </w:p>
        </w:tc>
      </w:tr>
      <w:tr w:rsidR="000C4900" w:rsidTr="00BC5A3D">
        <w:trPr>
          <w:trHeight w:val="204"/>
        </w:trPr>
        <w:tc>
          <w:tcPr>
            <w:tcW w:w="3134" w:type="dxa"/>
            <w:tcBorders>
              <w:top w:val="single" w:sz="4" w:space="0" w:color="1F497D"/>
              <w:left w:val="single" w:sz="4" w:space="0" w:color="1F497D"/>
              <w:bottom w:val="single" w:sz="4" w:space="0" w:color="1F497D"/>
              <w:right w:val="single" w:sz="4" w:space="0" w:color="1F497D"/>
            </w:tcBorders>
            <w:shd w:val="clear" w:color="000000" w:fill="EEECE1"/>
            <w:tcMar>
              <w:top w:w="15" w:type="dxa"/>
              <w:left w:w="15" w:type="dxa"/>
              <w:bottom w:w="0" w:type="dxa"/>
              <w:right w:w="15" w:type="dxa"/>
            </w:tcMar>
            <w:vAlign w:val="center"/>
            <w:hideMark/>
          </w:tcPr>
          <w:p w:rsidR="000C4900" w:rsidRDefault="000C4900" w:rsidP="000C4900">
            <w:pPr>
              <w:rPr>
                <w:rFonts w:ascii="Verdana" w:hAnsi="Verdana" w:cs="Calibri"/>
                <w:b/>
                <w:bCs/>
                <w:color w:val="000080"/>
                <w:sz w:val="16"/>
                <w:szCs w:val="16"/>
              </w:rPr>
            </w:pPr>
            <w:r w:rsidRPr="00F703A9">
              <w:rPr>
                <w:rFonts w:ascii="Verdana" w:hAnsi="Verdana" w:cs="Calibri"/>
                <w:b/>
                <w:bCs/>
                <w:color w:val="000080"/>
                <w:sz w:val="16"/>
                <w:szCs w:val="16"/>
                <w:lang w:val="es-ES"/>
              </w:rPr>
              <w:t xml:space="preserve">FIJA </w:t>
            </w:r>
            <w:r>
              <w:rPr>
                <w:rFonts w:ascii="Verdana" w:hAnsi="Verdana" w:cs="Calibri"/>
                <w:b/>
                <w:bCs/>
                <w:color w:val="000080"/>
                <w:sz w:val="16"/>
                <w:szCs w:val="16"/>
                <w:lang w:val="es-ES"/>
              </w:rPr>
              <w:t>-20</w:t>
            </w:r>
            <w:r w:rsidRPr="00F703A9">
              <w:rPr>
                <w:rFonts w:ascii="Verdana" w:hAnsi="Verdana" w:cs="Calibri"/>
                <w:b/>
                <w:bCs/>
                <w:color w:val="000080"/>
                <w:sz w:val="16"/>
                <w:szCs w:val="16"/>
                <w:lang w:val="es-ES"/>
              </w:rPr>
              <w:t xml:space="preserve"> </w:t>
            </w:r>
          </w:p>
        </w:tc>
        <w:tc>
          <w:tcPr>
            <w:tcW w:w="2126" w:type="dxa"/>
            <w:tcBorders>
              <w:top w:val="nil"/>
              <w:left w:val="nil"/>
              <w:bottom w:val="single" w:sz="4" w:space="0" w:color="1F497D"/>
              <w:right w:val="single" w:sz="4" w:space="0" w:color="1F497D"/>
            </w:tcBorders>
            <w:shd w:val="clear" w:color="auto" w:fill="auto"/>
            <w:tcMar>
              <w:top w:w="15" w:type="dxa"/>
              <w:left w:w="15" w:type="dxa"/>
              <w:bottom w:w="0" w:type="dxa"/>
              <w:right w:w="15" w:type="dxa"/>
            </w:tcMar>
            <w:vAlign w:val="center"/>
            <w:hideMark/>
          </w:tcPr>
          <w:p w:rsidR="000C4900" w:rsidRDefault="000C4900" w:rsidP="000C4900">
            <w:pPr>
              <w:rPr>
                <w:rFonts w:ascii="Verdana" w:hAnsi="Verdana" w:cs="Calibri"/>
                <w:b/>
                <w:bCs/>
                <w:color w:val="000080"/>
                <w:sz w:val="16"/>
                <w:szCs w:val="16"/>
              </w:rPr>
            </w:pPr>
            <w:r>
              <w:rPr>
                <w:rFonts w:ascii="Verdana" w:hAnsi="Verdana" w:cs="Calibri"/>
                <w:b/>
                <w:bCs/>
                <w:color w:val="000080"/>
                <w:sz w:val="16"/>
                <w:szCs w:val="16"/>
              </w:rPr>
              <w:t>hasta 20 años</w:t>
            </w:r>
          </w:p>
        </w:tc>
      </w:tr>
      <w:tr w:rsidR="00B82356" w:rsidTr="00BC5A3D">
        <w:trPr>
          <w:trHeight w:val="396"/>
        </w:trPr>
        <w:tc>
          <w:tcPr>
            <w:tcW w:w="3134" w:type="dxa"/>
            <w:tcBorders>
              <w:top w:val="single" w:sz="4" w:space="0" w:color="1F497D"/>
              <w:left w:val="single" w:sz="4" w:space="0" w:color="1F497D"/>
              <w:bottom w:val="single" w:sz="4" w:space="0" w:color="1F497D"/>
              <w:right w:val="single" w:sz="4" w:space="0" w:color="1F497D"/>
            </w:tcBorders>
            <w:shd w:val="clear" w:color="000000" w:fill="99CCFF"/>
            <w:tcMar>
              <w:top w:w="15" w:type="dxa"/>
              <w:left w:w="15" w:type="dxa"/>
              <w:bottom w:w="0" w:type="dxa"/>
              <w:right w:w="15" w:type="dxa"/>
            </w:tcMar>
            <w:vAlign w:val="center"/>
            <w:hideMark/>
          </w:tcPr>
          <w:p w:rsidR="00B82356" w:rsidRDefault="00B82356" w:rsidP="00B82356">
            <w:pPr>
              <w:rPr>
                <w:rFonts w:ascii="Verdana" w:hAnsi="Verdana" w:cs="Calibri"/>
                <w:b/>
                <w:bCs/>
                <w:color w:val="000080"/>
                <w:sz w:val="16"/>
                <w:szCs w:val="16"/>
              </w:rPr>
            </w:pPr>
            <w:r>
              <w:rPr>
                <w:rFonts w:ascii="Verdana" w:hAnsi="Verdana" w:cs="Calibri"/>
                <w:b/>
                <w:bCs/>
                <w:color w:val="000080"/>
                <w:sz w:val="16"/>
                <w:szCs w:val="16"/>
              </w:rPr>
              <w:t>PRÉSTAMOS  CON GARANTÍA HIPOTECARIA PARA CUALQUIER TIPO DE FINANCIACIÓN</w:t>
            </w:r>
          </w:p>
        </w:tc>
        <w:tc>
          <w:tcPr>
            <w:tcW w:w="2126" w:type="dxa"/>
            <w:tcBorders>
              <w:top w:val="nil"/>
              <w:left w:val="nil"/>
              <w:bottom w:val="single" w:sz="4" w:space="0" w:color="1F497D"/>
              <w:right w:val="single" w:sz="4" w:space="0" w:color="1F497D"/>
            </w:tcBorders>
            <w:shd w:val="clear" w:color="000000" w:fill="DCE6F1"/>
            <w:tcMar>
              <w:top w:w="15" w:type="dxa"/>
              <w:left w:w="15" w:type="dxa"/>
              <w:bottom w:w="0" w:type="dxa"/>
              <w:right w:w="15" w:type="dxa"/>
            </w:tcMar>
            <w:vAlign w:val="center"/>
            <w:hideMark/>
          </w:tcPr>
          <w:p w:rsidR="00B82356" w:rsidRDefault="00B82356" w:rsidP="00B82356">
            <w:pPr>
              <w:rPr>
                <w:rFonts w:ascii="Verdana" w:hAnsi="Verdana" w:cs="Calibri"/>
                <w:b/>
                <w:bCs/>
                <w:color w:val="000080"/>
                <w:sz w:val="16"/>
                <w:szCs w:val="16"/>
              </w:rPr>
            </w:pPr>
            <w:r>
              <w:rPr>
                <w:rFonts w:ascii="Verdana" w:hAnsi="Verdana" w:cs="Calibri"/>
                <w:b/>
                <w:bCs/>
                <w:color w:val="000080"/>
                <w:sz w:val="16"/>
                <w:szCs w:val="16"/>
              </w:rPr>
              <w:t>Plazo máximo de amortización</w:t>
            </w:r>
          </w:p>
        </w:tc>
      </w:tr>
      <w:tr w:rsidR="00B82356" w:rsidTr="00BC5A3D">
        <w:trPr>
          <w:trHeight w:val="204"/>
        </w:trPr>
        <w:tc>
          <w:tcPr>
            <w:tcW w:w="3134" w:type="dxa"/>
            <w:tcBorders>
              <w:top w:val="single" w:sz="4" w:space="0" w:color="1F497D"/>
              <w:left w:val="single" w:sz="4" w:space="0" w:color="1F497D"/>
              <w:bottom w:val="single" w:sz="4" w:space="0" w:color="1F497D"/>
              <w:right w:val="single" w:sz="4" w:space="0" w:color="1F497D"/>
            </w:tcBorders>
            <w:shd w:val="clear" w:color="000000" w:fill="EEECE1"/>
            <w:tcMar>
              <w:top w:w="15" w:type="dxa"/>
              <w:left w:w="15" w:type="dxa"/>
              <w:bottom w:w="0" w:type="dxa"/>
              <w:right w:w="15" w:type="dxa"/>
            </w:tcMar>
            <w:vAlign w:val="center"/>
            <w:hideMark/>
          </w:tcPr>
          <w:p w:rsidR="00B82356" w:rsidRDefault="00B82356" w:rsidP="00B82356">
            <w:pPr>
              <w:rPr>
                <w:rFonts w:ascii="Verdana" w:hAnsi="Verdana" w:cs="Calibri"/>
                <w:b/>
                <w:bCs/>
                <w:color w:val="000080"/>
                <w:sz w:val="16"/>
                <w:szCs w:val="16"/>
              </w:rPr>
            </w:pPr>
            <w:r>
              <w:rPr>
                <w:rFonts w:ascii="Verdana" w:hAnsi="Verdana" w:cs="Calibri"/>
                <w:b/>
                <w:bCs/>
                <w:color w:val="000080"/>
                <w:sz w:val="16"/>
                <w:szCs w:val="16"/>
              </w:rPr>
              <w:t>UNIVERSAL hasta 80 %</w:t>
            </w:r>
          </w:p>
        </w:tc>
        <w:tc>
          <w:tcPr>
            <w:tcW w:w="2126" w:type="dxa"/>
            <w:vMerge w:val="restart"/>
            <w:tcBorders>
              <w:top w:val="nil"/>
              <w:left w:val="single" w:sz="4" w:space="0" w:color="1F497D"/>
              <w:bottom w:val="single" w:sz="4" w:space="0" w:color="1F497D"/>
              <w:right w:val="single" w:sz="4" w:space="0" w:color="1F497D"/>
            </w:tcBorders>
            <w:shd w:val="clear" w:color="auto" w:fill="auto"/>
            <w:tcMar>
              <w:top w:w="15" w:type="dxa"/>
              <w:left w:w="15" w:type="dxa"/>
              <w:bottom w:w="0" w:type="dxa"/>
              <w:right w:w="15" w:type="dxa"/>
            </w:tcMar>
            <w:vAlign w:val="center"/>
            <w:hideMark/>
          </w:tcPr>
          <w:p w:rsidR="00B82356" w:rsidRDefault="00B82356" w:rsidP="00B82356">
            <w:pPr>
              <w:rPr>
                <w:rFonts w:ascii="Verdana" w:hAnsi="Verdana" w:cs="Calibri"/>
                <w:b/>
                <w:bCs/>
                <w:color w:val="000080"/>
                <w:sz w:val="16"/>
                <w:szCs w:val="16"/>
              </w:rPr>
            </w:pPr>
            <w:r>
              <w:rPr>
                <w:rFonts w:ascii="Verdana" w:hAnsi="Verdana" w:cs="Calibri"/>
                <w:b/>
                <w:bCs/>
                <w:color w:val="000080"/>
                <w:sz w:val="16"/>
                <w:szCs w:val="16"/>
              </w:rPr>
              <w:t>hasta 35 años</w:t>
            </w:r>
          </w:p>
        </w:tc>
      </w:tr>
      <w:tr w:rsidR="00B82356" w:rsidTr="00BC5A3D">
        <w:trPr>
          <w:trHeight w:val="204"/>
        </w:trPr>
        <w:tc>
          <w:tcPr>
            <w:tcW w:w="3134" w:type="dxa"/>
            <w:tcBorders>
              <w:top w:val="single" w:sz="4" w:space="0" w:color="1F497D"/>
              <w:left w:val="single" w:sz="4" w:space="0" w:color="1F497D"/>
              <w:bottom w:val="single" w:sz="4" w:space="0" w:color="1F497D"/>
              <w:right w:val="single" w:sz="4" w:space="0" w:color="1F497D"/>
            </w:tcBorders>
            <w:shd w:val="clear" w:color="000000" w:fill="EEECE1"/>
            <w:tcMar>
              <w:top w:w="15" w:type="dxa"/>
              <w:left w:w="15" w:type="dxa"/>
              <w:bottom w:w="0" w:type="dxa"/>
              <w:right w:w="15" w:type="dxa"/>
            </w:tcMar>
            <w:vAlign w:val="center"/>
            <w:hideMark/>
          </w:tcPr>
          <w:p w:rsidR="00B82356" w:rsidRDefault="00B82356" w:rsidP="00B82356">
            <w:pPr>
              <w:rPr>
                <w:rFonts w:ascii="Verdana" w:hAnsi="Verdana" w:cs="Calibri"/>
                <w:b/>
                <w:bCs/>
                <w:color w:val="000080"/>
                <w:sz w:val="16"/>
                <w:szCs w:val="16"/>
              </w:rPr>
            </w:pPr>
            <w:r>
              <w:rPr>
                <w:rFonts w:ascii="Verdana" w:hAnsi="Verdana" w:cs="Calibri"/>
                <w:b/>
                <w:bCs/>
                <w:color w:val="000080"/>
                <w:sz w:val="16"/>
                <w:szCs w:val="16"/>
              </w:rPr>
              <w:t>UNIVERSAL superior 80 %</w:t>
            </w:r>
          </w:p>
        </w:tc>
        <w:tc>
          <w:tcPr>
            <w:tcW w:w="2126" w:type="dxa"/>
            <w:vMerge/>
            <w:tcBorders>
              <w:top w:val="nil"/>
              <w:left w:val="single" w:sz="4" w:space="0" w:color="1F497D"/>
              <w:bottom w:val="single" w:sz="4" w:space="0" w:color="1F497D"/>
              <w:right w:val="single" w:sz="4" w:space="0" w:color="1F497D"/>
            </w:tcBorders>
            <w:vAlign w:val="center"/>
            <w:hideMark/>
          </w:tcPr>
          <w:p w:rsidR="00B82356" w:rsidRDefault="00B82356" w:rsidP="00B82356">
            <w:pPr>
              <w:rPr>
                <w:rFonts w:ascii="Verdana" w:hAnsi="Verdana" w:cs="Calibri"/>
                <w:b/>
                <w:bCs/>
                <w:color w:val="000080"/>
                <w:sz w:val="16"/>
                <w:szCs w:val="16"/>
              </w:rPr>
            </w:pPr>
          </w:p>
        </w:tc>
      </w:tr>
    </w:tbl>
    <w:p w:rsidR="00434814" w:rsidRDefault="001720AF" w:rsidP="008760B6">
      <w:pPr>
        <w:ind w:right="-55"/>
        <w:jc w:val="both"/>
        <w:rPr>
          <w:rFonts w:ascii="Verdana" w:hAnsi="Verdana"/>
          <w:b/>
        </w:rPr>
      </w:pPr>
      <w:r>
        <w:rPr>
          <w:rFonts w:ascii="Verdana" w:hAnsi="Verdana"/>
          <w:b/>
        </w:rPr>
        <w:t xml:space="preserve"> </w:t>
      </w:r>
    </w:p>
    <w:p w:rsidR="00434814" w:rsidRDefault="00434814" w:rsidP="008760B6">
      <w:pPr>
        <w:pStyle w:val="Prrafodelista"/>
        <w:rPr>
          <w:rFonts w:ascii="Verdana" w:hAnsi="Verdana"/>
          <w:b/>
          <w:sz w:val="20"/>
          <w:szCs w:val="20"/>
        </w:rPr>
      </w:pPr>
    </w:p>
    <w:p w:rsidR="00434814" w:rsidRDefault="00434814"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0C4900" w:rsidRDefault="000C4900" w:rsidP="008760B6">
      <w:pPr>
        <w:pStyle w:val="Prrafodelista"/>
        <w:rPr>
          <w:rFonts w:ascii="Verdana" w:hAnsi="Verdana"/>
          <w:b/>
          <w:sz w:val="20"/>
          <w:szCs w:val="20"/>
        </w:rPr>
      </w:pPr>
    </w:p>
    <w:p w:rsidR="009A1FB9" w:rsidRDefault="009A1FB9" w:rsidP="008760B6">
      <w:pPr>
        <w:pStyle w:val="Prrafodelista"/>
        <w:rPr>
          <w:rFonts w:ascii="Verdana" w:hAnsi="Verdana"/>
          <w:b/>
          <w:sz w:val="20"/>
          <w:szCs w:val="20"/>
        </w:rPr>
      </w:pPr>
    </w:p>
    <w:p w:rsidR="00434814" w:rsidRDefault="00434814" w:rsidP="00434814">
      <w:pPr>
        <w:numPr>
          <w:ilvl w:val="0"/>
          <w:numId w:val="1"/>
        </w:numPr>
        <w:ind w:right="-55"/>
        <w:jc w:val="both"/>
        <w:rPr>
          <w:rFonts w:ascii="Verdana" w:hAnsi="Verdana"/>
        </w:rPr>
      </w:pPr>
      <w:r w:rsidRPr="00603CEF">
        <w:rPr>
          <w:rFonts w:ascii="Verdana" w:hAnsi="Verdana"/>
          <w:b/>
        </w:rPr>
        <w:t>Periodicidad de los pagos:</w:t>
      </w:r>
      <w:r w:rsidRPr="00034CDD">
        <w:rPr>
          <w:rFonts w:ascii="Verdana" w:hAnsi="Verdana"/>
        </w:rPr>
        <w:t xml:space="preserve"> </w:t>
      </w:r>
      <w:r>
        <w:rPr>
          <w:rFonts w:ascii="Verdana" w:hAnsi="Verdana"/>
        </w:rPr>
        <w:t>la amortización se realizará mediante cuotas mensuales constantes comprensivas de capital e intereses.</w:t>
      </w:r>
    </w:p>
    <w:p w:rsidR="00434814" w:rsidRDefault="00434814" w:rsidP="008760B6">
      <w:pPr>
        <w:ind w:left="644" w:right="-55"/>
        <w:jc w:val="both"/>
        <w:rPr>
          <w:rFonts w:ascii="Verdana" w:hAnsi="Verdana"/>
        </w:rPr>
      </w:pPr>
    </w:p>
    <w:p w:rsidR="006F74ED" w:rsidRPr="00603CEF" w:rsidRDefault="006F74ED" w:rsidP="008760B6">
      <w:pPr>
        <w:ind w:left="644" w:right="-55"/>
        <w:jc w:val="both"/>
        <w:rPr>
          <w:rFonts w:ascii="Verdana" w:hAnsi="Verdana"/>
        </w:rPr>
      </w:pPr>
    </w:p>
    <w:p w:rsidR="00434814" w:rsidRDefault="003F2179" w:rsidP="008760B6">
      <w:pPr>
        <w:ind w:right="-55"/>
        <w:jc w:val="both"/>
        <w:rPr>
          <w:rFonts w:ascii="Verdana" w:hAnsi="Verdana"/>
          <w:b/>
        </w:rPr>
      </w:pPr>
      <w:r>
        <w:rPr>
          <w:rFonts w:ascii="Verdana" w:hAnsi="Verdana"/>
          <w:b/>
          <w:noProof/>
        </w:rPr>
        <w:pict>
          <v:rect id="_x0000_s1028" style="position:absolute;left:0;text-align:left;margin-left:-1.05pt;margin-top:3.5pt;width:498.75pt;height:18.75pt;z-index:251661312" fillcolor="#4f81bd">
            <v:textbox>
              <w:txbxContent>
                <w:p w:rsidR="00C90EE5" w:rsidRPr="00750752" w:rsidRDefault="00C90EE5" w:rsidP="008760B6">
                  <w:pPr>
                    <w:rPr>
                      <w:rFonts w:ascii="Verdana" w:hAnsi="Verdana"/>
                      <w:color w:val="FFFFFF"/>
                    </w:rPr>
                  </w:pPr>
                  <w:r>
                    <w:rPr>
                      <w:rFonts w:ascii="Verdana" w:hAnsi="Verdana"/>
                      <w:color w:val="FFFFFF"/>
                    </w:rPr>
                    <w:t>Tipo de Interés:</w:t>
                  </w:r>
                </w:p>
              </w:txbxContent>
            </v:textbox>
          </v:rect>
        </w:pict>
      </w:r>
    </w:p>
    <w:p w:rsidR="00434814" w:rsidRDefault="00434814" w:rsidP="008760B6">
      <w:pPr>
        <w:ind w:right="-55"/>
        <w:jc w:val="both"/>
        <w:rPr>
          <w:rFonts w:ascii="Verdana" w:hAnsi="Verdana"/>
          <w:b/>
        </w:rPr>
      </w:pPr>
    </w:p>
    <w:p w:rsidR="00434814" w:rsidRPr="00034CDD" w:rsidRDefault="00434814" w:rsidP="008760B6">
      <w:pPr>
        <w:ind w:right="-55"/>
        <w:jc w:val="both"/>
        <w:rPr>
          <w:rFonts w:ascii="Verdana" w:hAnsi="Verdana"/>
          <w:color w:val="3366FF"/>
          <w:u w:val="single"/>
        </w:rPr>
      </w:pPr>
    </w:p>
    <w:p w:rsidR="00434814" w:rsidRPr="0016638D" w:rsidRDefault="00434814" w:rsidP="00434814">
      <w:pPr>
        <w:numPr>
          <w:ilvl w:val="0"/>
          <w:numId w:val="5"/>
        </w:numPr>
        <w:tabs>
          <w:tab w:val="clear" w:pos="284"/>
          <w:tab w:val="num" w:pos="709"/>
        </w:tabs>
        <w:ind w:left="709" w:right="-55" w:hanging="283"/>
        <w:jc w:val="both"/>
        <w:rPr>
          <w:rFonts w:ascii="Verdana" w:hAnsi="Verdana"/>
          <w:b/>
        </w:rPr>
      </w:pPr>
      <w:r>
        <w:rPr>
          <w:rFonts w:ascii="Verdana" w:hAnsi="Verdana"/>
          <w:b/>
        </w:rPr>
        <w:t>Primer periodo</w:t>
      </w:r>
      <w:r w:rsidRPr="00034CDD">
        <w:rPr>
          <w:rFonts w:ascii="Verdana" w:hAnsi="Verdana"/>
          <w:b/>
        </w:rPr>
        <w:t>:</w:t>
      </w:r>
      <w:r w:rsidRPr="00034CDD">
        <w:rPr>
          <w:rFonts w:ascii="Verdana" w:hAnsi="Verdana"/>
        </w:rPr>
        <w:t xml:space="preserve"> </w:t>
      </w:r>
      <w:r w:rsidRPr="0021786A">
        <w:rPr>
          <w:rFonts w:ascii="Verdana" w:hAnsi="Verdana"/>
        </w:rPr>
        <w:t>Tipo fijo</w:t>
      </w:r>
      <w:r w:rsidRPr="0016638D">
        <w:rPr>
          <w:rFonts w:ascii="Verdana" w:hAnsi="Verdana"/>
          <w:b/>
        </w:rPr>
        <w:t xml:space="preserve"> </w:t>
      </w:r>
    </w:p>
    <w:p w:rsidR="00434814" w:rsidRPr="0016638D" w:rsidRDefault="00434814" w:rsidP="008760B6">
      <w:pPr>
        <w:tabs>
          <w:tab w:val="num" w:pos="709"/>
        </w:tabs>
        <w:ind w:left="284" w:right="-55" w:firstLine="142"/>
        <w:jc w:val="both"/>
        <w:rPr>
          <w:rFonts w:ascii="Verdana" w:hAnsi="Verdana"/>
          <w:b/>
        </w:rPr>
      </w:pPr>
    </w:p>
    <w:p w:rsidR="00434814" w:rsidRDefault="00434814" w:rsidP="00434814">
      <w:pPr>
        <w:numPr>
          <w:ilvl w:val="0"/>
          <w:numId w:val="5"/>
        </w:numPr>
        <w:tabs>
          <w:tab w:val="clear" w:pos="284"/>
          <w:tab w:val="num" w:pos="709"/>
        </w:tabs>
        <w:ind w:left="709" w:right="-55" w:hanging="283"/>
        <w:jc w:val="both"/>
        <w:rPr>
          <w:rFonts w:ascii="Verdana" w:hAnsi="Verdana"/>
        </w:rPr>
      </w:pPr>
      <w:r>
        <w:rPr>
          <w:rFonts w:ascii="Verdana" w:hAnsi="Verdana"/>
          <w:b/>
        </w:rPr>
        <w:t>Segundo periodo</w:t>
      </w:r>
      <w:r w:rsidRPr="0016638D">
        <w:rPr>
          <w:rFonts w:ascii="Verdana" w:hAnsi="Verdana"/>
          <w:b/>
        </w:rPr>
        <w:t xml:space="preserve">: </w:t>
      </w:r>
      <w:r w:rsidRPr="00921517">
        <w:rPr>
          <w:rFonts w:ascii="Verdana" w:hAnsi="Verdana"/>
        </w:rPr>
        <w:t>El</w:t>
      </w:r>
      <w:r>
        <w:rPr>
          <w:rFonts w:ascii="Verdana" w:hAnsi="Verdana"/>
          <w:b/>
        </w:rPr>
        <w:t xml:space="preserve"> </w:t>
      </w:r>
      <w:r w:rsidRPr="00921517">
        <w:rPr>
          <w:rFonts w:ascii="Verdana" w:hAnsi="Verdana"/>
        </w:rPr>
        <w:t>tipo de</w:t>
      </w:r>
      <w:r>
        <w:rPr>
          <w:rFonts w:ascii="Verdana" w:hAnsi="Verdana"/>
        </w:rPr>
        <w:t xml:space="preserve"> interés será variable (expresado en tipo de interés de referencia más el diferencial que aplique en cada caso, que se sumará al tipo de referencia).El tipo de interés será revisado con carácter anual.</w:t>
      </w:r>
    </w:p>
    <w:p w:rsidR="00434814" w:rsidRDefault="00434814" w:rsidP="008760B6">
      <w:pPr>
        <w:pStyle w:val="Prrafodelista"/>
        <w:rPr>
          <w:rFonts w:ascii="Verdana" w:hAnsi="Verdana"/>
          <w:sz w:val="20"/>
          <w:szCs w:val="20"/>
        </w:rPr>
      </w:pPr>
    </w:p>
    <w:p w:rsidR="00434814" w:rsidRDefault="00434814" w:rsidP="00434814">
      <w:pPr>
        <w:pStyle w:val="Prrafodelista"/>
        <w:numPr>
          <w:ilvl w:val="1"/>
          <w:numId w:val="5"/>
        </w:numPr>
        <w:jc w:val="both"/>
        <w:rPr>
          <w:rFonts w:ascii="Verdana" w:hAnsi="Verdana"/>
          <w:sz w:val="20"/>
          <w:szCs w:val="20"/>
        </w:rPr>
      </w:pPr>
      <w:r>
        <w:rPr>
          <w:rFonts w:ascii="Verdana" w:hAnsi="Verdana"/>
          <w:b/>
          <w:color w:val="1F497D"/>
          <w:sz w:val="20"/>
          <w:szCs w:val="20"/>
        </w:rPr>
        <w:t>Tipo de referencia</w:t>
      </w:r>
      <w:r>
        <w:rPr>
          <w:rFonts w:ascii="Verdana" w:hAnsi="Verdana"/>
          <w:sz w:val="20"/>
          <w:szCs w:val="20"/>
        </w:rPr>
        <w:t xml:space="preserve"> El tipo de referencia será el Euribor</w:t>
      </w:r>
      <w:r w:rsidR="00CD235B">
        <w:rPr>
          <w:rFonts w:ascii="Verdana" w:hAnsi="Verdana"/>
          <w:sz w:val="20"/>
          <w:szCs w:val="20"/>
        </w:rPr>
        <w:t xml:space="preserve"> </w:t>
      </w:r>
      <w:r>
        <w:rPr>
          <w:rFonts w:ascii="Verdana" w:hAnsi="Verdana"/>
          <w:sz w:val="20"/>
          <w:szCs w:val="20"/>
        </w:rPr>
        <w:t xml:space="preserve">(referencia interbancaria a un año), índice de referencia oficial para los préstamos hipotecarios a tipo variable destinados a la adquisición de vivienda. </w:t>
      </w:r>
      <w:r w:rsidRPr="004F340B">
        <w:rPr>
          <w:rFonts w:ascii="Verdana" w:hAnsi="Verdana"/>
          <w:sz w:val="20"/>
          <w:szCs w:val="20"/>
        </w:rPr>
        <w:t>Se tendrá en cuenta el antepenúltimo publicado al que tenga lugar la fecha de revisión</w:t>
      </w:r>
      <w:r>
        <w:rPr>
          <w:rFonts w:ascii="Verdana" w:hAnsi="Verdana"/>
          <w:sz w:val="20"/>
          <w:szCs w:val="20"/>
        </w:rPr>
        <w:t>.</w:t>
      </w:r>
    </w:p>
    <w:p w:rsidR="004A5894" w:rsidRDefault="004A5894">
      <w:pPr>
        <w:rPr>
          <w:rFonts w:ascii="Verdana" w:hAnsi="Verdana"/>
        </w:rPr>
      </w:pPr>
      <w:r>
        <w:rPr>
          <w:rFonts w:ascii="Verdana" w:hAnsi="Verdana"/>
        </w:rPr>
        <w:br w:type="page"/>
      </w:r>
    </w:p>
    <w:p w:rsidR="00234D3B" w:rsidRDefault="00234D3B">
      <w:pPr>
        <w:rPr>
          <w:rFonts w:ascii="Verdana" w:hAnsi="Verdana"/>
          <w:lang w:val="es-ES"/>
        </w:rPr>
      </w:pPr>
    </w:p>
    <w:p w:rsidR="00434814" w:rsidRDefault="00434814" w:rsidP="008760B6">
      <w:pPr>
        <w:pStyle w:val="Prrafodelista"/>
        <w:ind w:left="1440"/>
        <w:rPr>
          <w:rFonts w:ascii="Verdana" w:hAnsi="Verdana"/>
          <w:sz w:val="20"/>
          <w:szCs w:val="20"/>
        </w:rPr>
      </w:pPr>
    </w:p>
    <w:p w:rsidR="00434814" w:rsidRDefault="00434814" w:rsidP="00BC5A3D">
      <w:pPr>
        <w:numPr>
          <w:ilvl w:val="0"/>
          <w:numId w:val="5"/>
        </w:numPr>
        <w:tabs>
          <w:tab w:val="clear" w:pos="284"/>
          <w:tab w:val="num" w:pos="709"/>
        </w:tabs>
        <w:ind w:right="-55"/>
        <w:jc w:val="both"/>
        <w:rPr>
          <w:rFonts w:ascii="Verdana" w:hAnsi="Verdana"/>
        </w:rPr>
      </w:pPr>
      <w:r w:rsidRPr="004F340B">
        <w:rPr>
          <w:rFonts w:ascii="Verdana" w:hAnsi="Verdana"/>
          <w:b/>
        </w:rPr>
        <w:t>Periodicidad revisión</w:t>
      </w:r>
      <w:r>
        <w:rPr>
          <w:rFonts w:ascii="Verdana" w:hAnsi="Verdana"/>
          <w:b/>
        </w:rPr>
        <w:t xml:space="preserve"> segundo periodo</w:t>
      </w:r>
      <w:r w:rsidRPr="004F340B">
        <w:rPr>
          <w:rFonts w:ascii="Verdana" w:hAnsi="Verdana"/>
          <w:b/>
        </w:rPr>
        <w:t xml:space="preserve">: </w:t>
      </w:r>
      <w:r w:rsidRPr="004F340B">
        <w:rPr>
          <w:rFonts w:ascii="Verdana" w:hAnsi="Verdana"/>
        </w:rPr>
        <w:t>anual</w:t>
      </w:r>
    </w:p>
    <w:p w:rsidR="00434814" w:rsidRPr="004F340B" w:rsidRDefault="00434814" w:rsidP="008760B6">
      <w:pPr>
        <w:ind w:left="426" w:right="-55"/>
        <w:jc w:val="both"/>
        <w:rPr>
          <w:rFonts w:ascii="Verdana" w:hAnsi="Verdana"/>
        </w:rPr>
      </w:pPr>
    </w:p>
    <w:p w:rsidR="00E37FBD" w:rsidRDefault="00E37FBD" w:rsidP="008760B6">
      <w:pPr>
        <w:ind w:left="284" w:right="-55"/>
        <w:jc w:val="both"/>
        <w:rPr>
          <w:lang w:val="es-ES" w:eastAsia="en-US"/>
        </w:rPr>
      </w:pPr>
    </w:p>
    <w:tbl>
      <w:tblPr>
        <w:tblW w:w="7938" w:type="dxa"/>
        <w:tblInd w:w="779" w:type="dxa"/>
        <w:tblCellMar>
          <w:left w:w="70" w:type="dxa"/>
          <w:right w:w="70" w:type="dxa"/>
        </w:tblCellMar>
        <w:tblLook w:val="04A0" w:firstRow="1" w:lastRow="0" w:firstColumn="1" w:lastColumn="0" w:noHBand="0" w:noVBand="1"/>
      </w:tblPr>
      <w:tblGrid>
        <w:gridCol w:w="3175"/>
        <w:gridCol w:w="2779"/>
        <w:gridCol w:w="1984"/>
      </w:tblGrid>
      <w:tr w:rsidR="00CA24FC" w:rsidRPr="00E37FBD" w:rsidTr="00BC5A3D">
        <w:trPr>
          <w:trHeight w:val="416"/>
        </w:trPr>
        <w:tc>
          <w:tcPr>
            <w:tcW w:w="3175" w:type="dxa"/>
            <w:tcBorders>
              <w:top w:val="single" w:sz="4" w:space="0" w:color="1F497D"/>
              <w:left w:val="single" w:sz="4" w:space="0" w:color="1F497D"/>
              <w:bottom w:val="single" w:sz="4" w:space="0" w:color="1F497D"/>
              <w:right w:val="single" w:sz="4" w:space="0" w:color="1F497D"/>
            </w:tcBorders>
            <w:shd w:val="clear" w:color="auto" w:fill="95B3D7" w:themeFill="accent1" w:themeFillTint="99"/>
            <w:vAlign w:val="center"/>
            <w:hideMark/>
          </w:tcPr>
          <w:p w:rsidR="00E37FBD" w:rsidRPr="00BC5A3D" w:rsidRDefault="00E37FBD">
            <w:pPr>
              <w:rPr>
                <w:rFonts w:ascii="Verdana" w:hAnsi="Verdana" w:cs="Calibri"/>
                <w:b/>
                <w:bCs/>
                <w:color w:val="000080"/>
                <w:sz w:val="16"/>
                <w:szCs w:val="16"/>
                <w:lang w:val="es-ES"/>
              </w:rPr>
            </w:pPr>
            <w:r w:rsidRPr="00BC5A3D">
              <w:rPr>
                <w:rFonts w:ascii="Verdana" w:hAnsi="Verdana" w:cs="Calibri"/>
                <w:b/>
                <w:bCs/>
                <w:color w:val="000080"/>
                <w:sz w:val="16"/>
                <w:szCs w:val="16"/>
                <w:lang w:val="es-ES"/>
              </w:rPr>
              <w:t>PRÉSTAMOS CON GARANTÍA HIPOTECARIA PARA ADQUISICIÓN DE VIVIENDA HABITUAL</w:t>
            </w:r>
          </w:p>
        </w:tc>
        <w:tc>
          <w:tcPr>
            <w:tcW w:w="2779" w:type="dxa"/>
            <w:tcBorders>
              <w:top w:val="single" w:sz="4" w:space="0" w:color="1F497D"/>
              <w:left w:val="nil"/>
              <w:bottom w:val="single" w:sz="4" w:space="0" w:color="1F497D"/>
              <w:right w:val="single" w:sz="4" w:space="0" w:color="1F497D"/>
            </w:tcBorders>
            <w:shd w:val="clear" w:color="auto" w:fill="B8CCE4" w:themeFill="accent1" w:themeFillTint="66"/>
            <w:vAlign w:val="center"/>
            <w:hideMark/>
          </w:tcPr>
          <w:p w:rsidR="00E37FBD" w:rsidRPr="00BC5A3D" w:rsidRDefault="00E37FBD">
            <w:pPr>
              <w:rPr>
                <w:rFonts w:ascii="Verdana" w:hAnsi="Verdana" w:cs="Calibri"/>
                <w:b/>
                <w:bCs/>
                <w:color w:val="000080"/>
                <w:sz w:val="16"/>
                <w:szCs w:val="16"/>
                <w:lang w:val="es-ES"/>
              </w:rPr>
            </w:pPr>
            <w:r w:rsidRPr="00BC5A3D">
              <w:rPr>
                <w:rFonts w:ascii="Verdana" w:hAnsi="Verdana" w:cs="Calibri"/>
                <w:b/>
                <w:bCs/>
                <w:color w:val="000080"/>
                <w:sz w:val="16"/>
                <w:szCs w:val="16"/>
                <w:lang w:val="es-ES"/>
              </w:rPr>
              <w:t>TIPO DE INTERÉS PRIMER PERIODO</w:t>
            </w:r>
          </w:p>
        </w:tc>
        <w:tc>
          <w:tcPr>
            <w:tcW w:w="1984" w:type="dxa"/>
            <w:tcBorders>
              <w:top w:val="single" w:sz="4" w:space="0" w:color="1F497D"/>
              <w:left w:val="nil"/>
              <w:bottom w:val="single" w:sz="4" w:space="0" w:color="1F497D"/>
              <w:right w:val="single" w:sz="4" w:space="0" w:color="1F497D"/>
            </w:tcBorders>
            <w:shd w:val="clear" w:color="auto" w:fill="B8CCE4" w:themeFill="accent1" w:themeFillTint="66"/>
            <w:vAlign w:val="center"/>
            <w:hideMark/>
          </w:tcPr>
          <w:p w:rsidR="00E37FBD" w:rsidRPr="00BC5A3D" w:rsidRDefault="00E37FBD">
            <w:pPr>
              <w:rPr>
                <w:rFonts w:ascii="Verdana" w:hAnsi="Verdana" w:cs="Calibri"/>
                <w:b/>
                <w:bCs/>
                <w:color w:val="000080"/>
                <w:sz w:val="16"/>
                <w:szCs w:val="16"/>
                <w:lang w:val="es-ES"/>
              </w:rPr>
            </w:pPr>
            <w:r w:rsidRPr="00BC5A3D">
              <w:rPr>
                <w:rFonts w:ascii="Verdana" w:hAnsi="Verdana" w:cs="Calibri"/>
                <w:b/>
                <w:bCs/>
                <w:color w:val="000080"/>
                <w:sz w:val="16"/>
                <w:szCs w:val="16"/>
                <w:lang w:val="es-ES"/>
              </w:rPr>
              <w:t>TIPO DE INTERÉS SEGUNDO PERIODO</w:t>
            </w:r>
          </w:p>
        </w:tc>
      </w:tr>
      <w:tr w:rsidR="000C4900" w:rsidRPr="00E37FBD" w:rsidTr="00BC5A3D">
        <w:trPr>
          <w:trHeight w:val="208"/>
        </w:trPr>
        <w:tc>
          <w:tcPr>
            <w:tcW w:w="317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0C4900" w:rsidRPr="00BC5A3D" w:rsidRDefault="000C4900"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HOGAR hasta 60 %</w:t>
            </w:r>
          </w:p>
        </w:tc>
        <w:tc>
          <w:tcPr>
            <w:tcW w:w="2779" w:type="dxa"/>
            <w:tcBorders>
              <w:top w:val="nil"/>
              <w:left w:val="nil"/>
              <w:bottom w:val="single" w:sz="4" w:space="0" w:color="1F497D"/>
              <w:right w:val="single" w:sz="4" w:space="0" w:color="1F497D"/>
            </w:tcBorders>
            <w:shd w:val="clear" w:color="auto" w:fill="auto"/>
            <w:vAlign w:val="center"/>
            <w:hideMark/>
          </w:tcPr>
          <w:p w:rsidR="000C4900" w:rsidRPr="00BC5A3D" w:rsidRDefault="000C4900" w:rsidP="00BC5A3D">
            <w:pPr>
              <w:rPr>
                <w:rFonts w:ascii="Verdana" w:hAnsi="Verdana" w:cs="Calibri"/>
                <w:b/>
                <w:bCs/>
                <w:color w:val="000080"/>
                <w:sz w:val="16"/>
                <w:szCs w:val="16"/>
                <w:lang w:val="es-ES"/>
              </w:rPr>
            </w:pPr>
            <w:r w:rsidRPr="00BC5A3D">
              <w:rPr>
                <w:rFonts w:ascii="Verdana" w:hAnsi="Verdana" w:cs="Calibri"/>
                <w:b/>
                <w:bCs/>
                <w:color w:val="000080"/>
                <w:sz w:val="16"/>
                <w:szCs w:val="16"/>
                <w:lang w:val="es-ES"/>
              </w:rPr>
              <w:t>2,00% (tipo fijo 1er año)</w:t>
            </w:r>
          </w:p>
        </w:tc>
        <w:tc>
          <w:tcPr>
            <w:tcW w:w="1984" w:type="dxa"/>
            <w:tcBorders>
              <w:top w:val="nil"/>
              <w:left w:val="nil"/>
              <w:bottom w:val="single" w:sz="4" w:space="0" w:color="1F497D"/>
              <w:right w:val="single" w:sz="4" w:space="0" w:color="1F497D"/>
            </w:tcBorders>
            <w:shd w:val="clear" w:color="auto" w:fill="auto"/>
            <w:vAlign w:val="center"/>
            <w:hideMark/>
          </w:tcPr>
          <w:p w:rsidR="000C4900" w:rsidRPr="00BC5A3D" w:rsidRDefault="000C4900" w:rsidP="000C4900">
            <w:pPr>
              <w:jc w:val="center"/>
              <w:rPr>
                <w:rFonts w:ascii="Verdana" w:hAnsi="Verdana" w:cs="Calibri"/>
                <w:b/>
                <w:bCs/>
                <w:color w:val="000080"/>
                <w:sz w:val="16"/>
                <w:szCs w:val="16"/>
                <w:lang w:val="es-ES"/>
              </w:rPr>
            </w:pPr>
            <w:r w:rsidRPr="00BC5A3D">
              <w:rPr>
                <w:rFonts w:ascii="Verdana" w:hAnsi="Verdana" w:cs="Calibri"/>
                <w:b/>
                <w:bCs/>
                <w:color w:val="000080"/>
                <w:sz w:val="16"/>
                <w:szCs w:val="16"/>
                <w:lang w:val="es-ES"/>
              </w:rPr>
              <w:t>Euribor + 1,71</w:t>
            </w:r>
          </w:p>
        </w:tc>
      </w:tr>
      <w:tr w:rsidR="000C4900" w:rsidRPr="00E37FBD" w:rsidTr="00BC5A3D">
        <w:trPr>
          <w:trHeight w:val="208"/>
        </w:trPr>
        <w:tc>
          <w:tcPr>
            <w:tcW w:w="317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0C4900" w:rsidRPr="00BC5A3D" w:rsidRDefault="000C4900" w:rsidP="000C4900">
            <w:pPr>
              <w:rPr>
                <w:rFonts w:ascii="Verdana" w:hAnsi="Verdana" w:cs="Calibri"/>
                <w:b/>
                <w:bCs/>
                <w:color w:val="000080"/>
                <w:sz w:val="16"/>
                <w:szCs w:val="16"/>
                <w:lang w:val="es-ES"/>
              </w:rPr>
            </w:pPr>
            <w:r>
              <w:rPr>
                <w:rFonts w:ascii="Verdana" w:hAnsi="Verdana" w:cs="Calibri"/>
                <w:b/>
                <w:bCs/>
                <w:color w:val="000080"/>
                <w:sz w:val="16"/>
                <w:szCs w:val="16"/>
              </w:rPr>
              <w:t>HOGAR hasta 80 %</w:t>
            </w:r>
          </w:p>
        </w:tc>
        <w:tc>
          <w:tcPr>
            <w:tcW w:w="2779" w:type="dxa"/>
            <w:tcBorders>
              <w:top w:val="nil"/>
              <w:left w:val="nil"/>
              <w:bottom w:val="single" w:sz="4" w:space="0" w:color="1F497D"/>
              <w:right w:val="single" w:sz="4" w:space="0" w:color="1F497D"/>
            </w:tcBorders>
            <w:shd w:val="clear" w:color="auto" w:fill="auto"/>
            <w:vAlign w:val="center"/>
            <w:hideMark/>
          </w:tcPr>
          <w:p w:rsidR="000C4900" w:rsidRPr="00BC5A3D" w:rsidRDefault="000C4900" w:rsidP="00BC5A3D">
            <w:pPr>
              <w:rPr>
                <w:rFonts w:ascii="Verdana" w:hAnsi="Verdana" w:cs="Calibri"/>
                <w:b/>
                <w:bCs/>
                <w:color w:val="000080"/>
                <w:sz w:val="16"/>
                <w:szCs w:val="16"/>
                <w:lang w:val="es-ES"/>
              </w:rPr>
            </w:pPr>
            <w:r w:rsidRPr="00BC5A3D">
              <w:rPr>
                <w:rFonts w:ascii="Verdana" w:hAnsi="Verdana" w:cs="Calibri"/>
                <w:b/>
                <w:bCs/>
                <w:color w:val="000080"/>
                <w:sz w:val="16"/>
                <w:szCs w:val="16"/>
                <w:lang w:val="es-ES"/>
              </w:rPr>
              <w:t>2,00% (tipo fijo 1er año)</w:t>
            </w:r>
          </w:p>
        </w:tc>
        <w:tc>
          <w:tcPr>
            <w:tcW w:w="1984" w:type="dxa"/>
            <w:tcBorders>
              <w:top w:val="nil"/>
              <w:left w:val="nil"/>
              <w:bottom w:val="single" w:sz="4" w:space="0" w:color="1F497D"/>
              <w:right w:val="single" w:sz="4" w:space="0" w:color="1F497D"/>
            </w:tcBorders>
            <w:shd w:val="clear" w:color="auto" w:fill="auto"/>
            <w:vAlign w:val="center"/>
            <w:hideMark/>
          </w:tcPr>
          <w:p w:rsidR="000C4900" w:rsidRPr="00BC5A3D" w:rsidRDefault="000C4900" w:rsidP="000C4900">
            <w:pPr>
              <w:jc w:val="center"/>
              <w:rPr>
                <w:rFonts w:ascii="Verdana" w:hAnsi="Verdana" w:cs="Calibri"/>
                <w:b/>
                <w:bCs/>
                <w:color w:val="000080"/>
                <w:sz w:val="16"/>
                <w:szCs w:val="16"/>
                <w:lang w:val="es-ES"/>
              </w:rPr>
            </w:pPr>
            <w:r w:rsidRPr="00BC5A3D">
              <w:rPr>
                <w:rFonts w:ascii="Verdana" w:hAnsi="Verdana" w:cs="Calibri"/>
                <w:b/>
                <w:bCs/>
                <w:color w:val="000080"/>
                <w:sz w:val="16"/>
                <w:szCs w:val="16"/>
                <w:lang w:val="es-ES"/>
              </w:rPr>
              <w:t>Euribor + 2,01</w:t>
            </w:r>
          </w:p>
        </w:tc>
      </w:tr>
      <w:tr w:rsidR="000C4900" w:rsidRPr="00E37FBD" w:rsidTr="00BC5A3D">
        <w:trPr>
          <w:trHeight w:val="208"/>
        </w:trPr>
        <w:tc>
          <w:tcPr>
            <w:tcW w:w="317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0C4900" w:rsidRPr="00BC5A3D" w:rsidRDefault="000C4900"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MIXTA </w:t>
            </w:r>
            <w:r>
              <w:rPr>
                <w:rFonts w:ascii="Verdana" w:hAnsi="Verdana" w:cs="Calibri"/>
                <w:b/>
                <w:bCs/>
                <w:color w:val="000080"/>
                <w:sz w:val="16"/>
                <w:szCs w:val="16"/>
                <w:lang w:val="es-ES"/>
              </w:rPr>
              <w:t>- 5</w:t>
            </w:r>
          </w:p>
        </w:tc>
        <w:tc>
          <w:tcPr>
            <w:tcW w:w="2779" w:type="dxa"/>
            <w:tcBorders>
              <w:top w:val="nil"/>
              <w:left w:val="nil"/>
              <w:bottom w:val="single" w:sz="4" w:space="0" w:color="1F497D"/>
              <w:right w:val="single" w:sz="4" w:space="0" w:color="1F497D"/>
            </w:tcBorders>
            <w:shd w:val="clear" w:color="auto" w:fill="auto"/>
            <w:vAlign w:val="center"/>
            <w:hideMark/>
          </w:tcPr>
          <w:p w:rsidR="000C4900" w:rsidRPr="00BC5A3D" w:rsidRDefault="00667ECF" w:rsidP="00BC5A3D">
            <w:pPr>
              <w:rPr>
                <w:rFonts w:ascii="Verdana" w:hAnsi="Verdana" w:cs="Calibri"/>
                <w:b/>
                <w:bCs/>
                <w:color w:val="000080"/>
                <w:sz w:val="16"/>
                <w:szCs w:val="16"/>
                <w:lang w:val="es-ES"/>
              </w:rPr>
            </w:pPr>
            <w:r>
              <w:rPr>
                <w:rFonts w:ascii="Verdana" w:hAnsi="Verdana" w:cs="Calibri"/>
                <w:b/>
                <w:bCs/>
                <w:color w:val="000080"/>
                <w:sz w:val="16"/>
                <w:szCs w:val="16"/>
                <w:lang w:val="es-ES"/>
              </w:rPr>
              <w:t>2,5</w:t>
            </w:r>
            <w:r w:rsidR="000C4900" w:rsidRPr="00BC5A3D">
              <w:rPr>
                <w:rFonts w:ascii="Verdana" w:hAnsi="Verdana" w:cs="Calibri"/>
                <w:b/>
                <w:bCs/>
                <w:color w:val="000080"/>
                <w:sz w:val="16"/>
                <w:szCs w:val="16"/>
                <w:lang w:val="es-ES"/>
              </w:rPr>
              <w:t>5% (tipo fijo 5 años)</w:t>
            </w:r>
          </w:p>
        </w:tc>
        <w:tc>
          <w:tcPr>
            <w:tcW w:w="1984" w:type="dxa"/>
            <w:tcBorders>
              <w:top w:val="nil"/>
              <w:left w:val="nil"/>
              <w:bottom w:val="single" w:sz="4" w:space="0" w:color="1F497D"/>
              <w:right w:val="single" w:sz="4" w:space="0" w:color="1F497D"/>
            </w:tcBorders>
            <w:shd w:val="clear" w:color="auto" w:fill="auto"/>
            <w:vAlign w:val="center"/>
            <w:hideMark/>
          </w:tcPr>
          <w:p w:rsidR="000C4900" w:rsidRPr="00BC5A3D" w:rsidRDefault="000C4900" w:rsidP="000C4900">
            <w:pPr>
              <w:jc w:val="center"/>
              <w:rPr>
                <w:rFonts w:ascii="Verdana" w:hAnsi="Verdana" w:cs="Calibri"/>
                <w:b/>
                <w:bCs/>
                <w:color w:val="000080"/>
                <w:sz w:val="16"/>
                <w:szCs w:val="16"/>
                <w:lang w:val="es-ES"/>
              </w:rPr>
            </w:pPr>
            <w:r w:rsidRPr="00BC5A3D">
              <w:rPr>
                <w:rFonts w:ascii="Verdana" w:hAnsi="Verdana" w:cs="Calibri"/>
                <w:b/>
                <w:bCs/>
                <w:color w:val="000080"/>
                <w:sz w:val="16"/>
                <w:szCs w:val="16"/>
                <w:lang w:val="es-ES"/>
              </w:rPr>
              <w:t>Euribor + 2,25</w:t>
            </w:r>
          </w:p>
        </w:tc>
      </w:tr>
      <w:tr w:rsidR="000C4900" w:rsidRPr="00E37FBD" w:rsidTr="00BC5A3D">
        <w:trPr>
          <w:trHeight w:val="184"/>
        </w:trPr>
        <w:tc>
          <w:tcPr>
            <w:tcW w:w="317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0C4900" w:rsidRPr="00BC5A3D" w:rsidRDefault="000C4900"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MIXTA </w:t>
            </w:r>
            <w:r>
              <w:rPr>
                <w:rFonts w:ascii="Verdana" w:hAnsi="Verdana" w:cs="Calibri"/>
                <w:b/>
                <w:bCs/>
                <w:color w:val="000080"/>
                <w:sz w:val="16"/>
                <w:szCs w:val="16"/>
                <w:lang w:val="es-ES"/>
              </w:rPr>
              <w:t>- 10</w:t>
            </w:r>
          </w:p>
        </w:tc>
        <w:tc>
          <w:tcPr>
            <w:tcW w:w="2779" w:type="dxa"/>
            <w:tcBorders>
              <w:top w:val="nil"/>
              <w:left w:val="nil"/>
              <w:bottom w:val="single" w:sz="4" w:space="0" w:color="1F497D"/>
              <w:right w:val="single" w:sz="4" w:space="0" w:color="1F497D"/>
            </w:tcBorders>
            <w:shd w:val="clear" w:color="auto" w:fill="auto"/>
            <w:vAlign w:val="center"/>
            <w:hideMark/>
          </w:tcPr>
          <w:p w:rsidR="000C4900" w:rsidRPr="00BC5A3D" w:rsidRDefault="00667ECF" w:rsidP="00BC5A3D">
            <w:pPr>
              <w:rPr>
                <w:rFonts w:ascii="Verdana" w:hAnsi="Verdana" w:cs="Calibri"/>
                <w:b/>
                <w:bCs/>
                <w:color w:val="000080"/>
                <w:sz w:val="16"/>
                <w:szCs w:val="16"/>
                <w:lang w:val="es-ES"/>
              </w:rPr>
            </w:pPr>
            <w:r>
              <w:rPr>
                <w:rFonts w:ascii="Verdana" w:hAnsi="Verdana" w:cs="Calibri"/>
                <w:b/>
                <w:bCs/>
                <w:color w:val="000080"/>
                <w:sz w:val="16"/>
                <w:szCs w:val="16"/>
                <w:lang w:val="es-ES"/>
              </w:rPr>
              <w:t>3,1</w:t>
            </w:r>
            <w:r w:rsidR="000C4900" w:rsidRPr="00BC5A3D">
              <w:rPr>
                <w:rFonts w:ascii="Verdana" w:hAnsi="Verdana" w:cs="Calibri"/>
                <w:b/>
                <w:bCs/>
                <w:color w:val="000080"/>
                <w:sz w:val="16"/>
                <w:szCs w:val="16"/>
                <w:lang w:val="es-ES"/>
              </w:rPr>
              <w:t>0% (tipo fijo 10 años)</w:t>
            </w:r>
          </w:p>
        </w:tc>
        <w:tc>
          <w:tcPr>
            <w:tcW w:w="1984" w:type="dxa"/>
            <w:tcBorders>
              <w:top w:val="nil"/>
              <w:left w:val="nil"/>
              <w:bottom w:val="single" w:sz="4" w:space="0" w:color="1F497D"/>
              <w:right w:val="single" w:sz="4" w:space="0" w:color="1F497D"/>
            </w:tcBorders>
            <w:shd w:val="clear" w:color="auto" w:fill="auto"/>
            <w:vAlign w:val="center"/>
            <w:hideMark/>
          </w:tcPr>
          <w:p w:rsidR="000C4900" w:rsidRPr="00BC5A3D" w:rsidRDefault="000C4900" w:rsidP="000C4900">
            <w:pPr>
              <w:jc w:val="center"/>
              <w:rPr>
                <w:rFonts w:ascii="Verdana" w:hAnsi="Verdana" w:cs="Calibri"/>
                <w:b/>
                <w:bCs/>
                <w:color w:val="000080"/>
                <w:sz w:val="16"/>
                <w:szCs w:val="16"/>
                <w:lang w:val="es-ES"/>
              </w:rPr>
            </w:pPr>
            <w:r w:rsidRPr="00BC5A3D">
              <w:rPr>
                <w:rFonts w:ascii="Verdana" w:hAnsi="Verdana" w:cs="Calibri"/>
                <w:b/>
                <w:bCs/>
                <w:color w:val="000080"/>
                <w:sz w:val="16"/>
                <w:szCs w:val="16"/>
                <w:lang w:val="es-ES"/>
              </w:rPr>
              <w:t>Euribor + 2,50</w:t>
            </w:r>
          </w:p>
        </w:tc>
      </w:tr>
      <w:tr w:rsidR="000C4900" w:rsidRPr="00E37FBD" w:rsidTr="00BC5A3D">
        <w:trPr>
          <w:trHeight w:val="208"/>
        </w:trPr>
        <w:tc>
          <w:tcPr>
            <w:tcW w:w="317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0C4900" w:rsidRPr="00BC5A3D" w:rsidRDefault="000C4900"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MIXTA </w:t>
            </w:r>
            <w:r>
              <w:rPr>
                <w:rFonts w:ascii="Verdana" w:hAnsi="Verdana" w:cs="Calibri"/>
                <w:b/>
                <w:bCs/>
                <w:color w:val="000080"/>
                <w:sz w:val="16"/>
                <w:szCs w:val="16"/>
                <w:lang w:val="es-ES"/>
              </w:rPr>
              <w:t>- 15</w:t>
            </w:r>
          </w:p>
        </w:tc>
        <w:tc>
          <w:tcPr>
            <w:tcW w:w="2779" w:type="dxa"/>
            <w:tcBorders>
              <w:top w:val="nil"/>
              <w:left w:val="nil"/>
              <w:bottom w:val="single" w:sz="4" w:space="0" w:color="1F497D"/>
              <w:right w:val="single" w:sz="4" w:space="0" w:color="1F497D"/>
            </w:tcBorders>
            <w:shd w:val="clear" w:color="auto" w:fill="auto"/>
            <w:vAlign w:val="center"/>
            <w:hideMark/>
          </w:tcPr>
          <w:p w:rsidR="000C4900" w:rsidRPr="00BC5A3D" w:rsidRDefault="00667ECF" w:rsidP="00BC5A3D">
            <w:pPr>
              <w:rPr>
                <w:rFonts w:ascii="Verdana" w:hAnsi="Verdana" w:cs="Calibri"/>
                <w:b/>
                <w:bCs/>
                <w:color w:val="000080"/>
                <w:sz w:val="16"/>
                <w:szCs w:val="16"/>
                <w:lang w:val="es-ES"/>
              </w:rPr>
            </w:pPr>
            <w:r>
              <w:rPr>
                <w:rFonts w:ascii="Verdana" w:hAnsi="Verdana" w:cs="Calibri"/>
                <w:b/>
                <w:bCs/>
                <w:color w:val="000080"/>
                <w:sz w:val="16"/>
                <w:szCs w:val="16"/>
                <w:lang w:val="es-ES"/>
              </w:rPr>
              <w:t>3,4</w:t>
            </w:r>
            <w:r w:rsidR="000C4900" w:rsidRPr="00BC5A3D">
              <w:rPr>
                <w:rFonts w:ascii="Verdana" w:hAnsi="Verdana" w:cs="Calibri"/>
                <w:b/>
                <w:bCs/>
                <w:color w:val="000080"/>
                <w:sz w:val="16"/>
                <w:szCs w:val="16"/>
                <w:lang w:val="es-ES"/>
              </w:rPr>
              <w:t>0% (tipo fijo 15 años)</w:t>
            </w:r>
          </w:p>
        </w:tc>
        <w:tc>
          <w:tcPr>
            <w:tcW w:w="1984" w:type="dxa"/>
            <w:tcBorders>
              <w:top w:val="nil"/>
              <w:left w:val="nil"/>
              <w:bottom w:val="single" w:sz="4" w:space="0" w:color="1F497D"/>
              <w:right w:val="single" w:sz="4" w:space="0" w:color="1F497D"/>
            </w:tcBorders>
            <w:shd w:val="clear" w:color="auto" w:fill="auto"/>
            <w:vAlign w:val="center"/>
            <w:hideMark/>
          </w:tcPr>
          <w:p w:rsidR="000C4900" w:rsidRPr="00BC5A3D" w:rsidRDefault="000C4900" w:rsidP="000C4900">
            <w:pPr>
              <w:jc w:val="center"/>
              <w:rPr>
                <w:rFonts w:ascii="Verdana" w:hAnsi="Verdana" w:cs="Calibri"/>
                <w:b/>
                <w:bCs/>
                <w:color w:val="000080"/>
                <w:sz w:val="16"/>
                <w:szCs w:val="16"/>
                <w:lang w:val="es-ES"/>
              </w:rPr>
            </w:pPr>
            <w:r w:rsidRPr="00BC5A3D">
              <w:rPr>
                <w:rFonts w:ascii="Verdana" w:hAnsi="Verdana" w:cs="Calibri"/>
                <w:b/>
                <w:bCs/>
                <w:color w:val="000080"/>
                <w:sz w:val="16"/>
                <w:szCs w:val="16"/>
                <w:lang w:val="es-ES"/>
              </w:rPr>
              <w:t>Euribor + 2,50</w:t>
            </w:r>
          </w:p>
        </w:tc>
      </w:tr>
      <w:tr w:rsidR="000C4900" w:rsidRPr="00E37FBD" w:rsidTr="00BC5A3D">
        <w:trPr>
          <w:trHeight w:val="208"/>
        </w:trPr>
        <w:tc>
          <w:tcPr>
            <w:tcW w:w="317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0C4900" w:rsidRPr="00BC5A3D" w:rsidRDefault="000C4900"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FIJA </w:t>
            </w:r>
            <w:r>
              <w:rPr>
                <w:rFonts w:ascii="Verdana" w:hAnsi="Verdana" w:cs="Calibri"/>
                <w:b/>
                <w:bCs/>
                <w:color w:val="000080"/>
                <w:sz w:val="16"/>
                <w:szCs w:val="16"/>
                <w:lang w:val="es-ES"/>
              </w:rPr>
              <w:t xml:space="preserve">-15 </w:t>
            </w:r>
          </w:p>
        </w:tc>
        <w:tc>
          <w:tcPr>
            <w:tcW w:w="2779" w:type="dxa"/>
            <w:tcBorders>
              <w:top w:val="nil"/>
              <w:left w:val="nil"/>
              <w:bottom w:val="single" w:sz="4" w:space="0" w:color="1F497D"/>
              <w:right w:val="single" w:sz="4" w:space="0" w:color="1F497D"/>
            </w:tcBorders>
            <w:shd w:val="clear" w:color="auto" w:fill="auto"/>
            <w:vAlign w:val="center"/>
            <w:hideMark/>
          </w:tcPr>
          <w:p w:rsidR="000C4900" w:rsidRPr="00BC5A3D" w:rsidRDefault="00667ECF" w:rsidP="00BC5A3D">
            <w:pPr>
              <w:rPr>
                <w:rFonts w:ascii="Verdana" w:hAnsi="Verdana" w:cs="Calibri"/>
                <w:b/>
                <w:bCs/>
                <w:color w:val="000080"/>
                <w:sz w:val="16"/>
                <w:szCs w:val="16"/>
                <w:lang w:val="es-ES"/>
              </w:rPr>
            </w:pPr>
            <w:r>
              <w:rPr>
                <w:rFonts w:ascii="Verdana" w:hAnsi="Verdana" w:cs="Calibri"/>
                <w:b/>
                <w:bCs/>
                <w:color w:val="000080"/>
                <w:sz w:val="16"/>
                <w:szCs w:val="16"/>
                <w:lang w:val="es-ES"/>
              </w:rPr>
              <w:t>3,1</w:t>
            </w:r>
            <w:r w:rsidR="000C4900" w:rsidRPr="00BC5A3D">
              <w:rPr>
                <w:rFonts w:ascii="Verdana" w:hAnsi="Verdana" w:cs="Calibri"/>
                <w:b/>
                <w:bCs/>
                <w:color w:val="000080"/>
                <w:sz w:val="16"/>
                <w:szCs w:val="16"/>
                <w:lang w:val="es-ES"/>
              </w:rPr>
              <w:t>0% (tipo fijo)</w:t>
            </w:r>
          </w:p>
        </w:tc>
        <w:tc>
          <w:tcPr>
            <w:tcW w:w="1984" w:type="dxa"/>
            <w:vMerge w:val="restart"/>
            <w:tcBorders>
              <w:top w:val="nil"/>
              <w:left w:val="single" w:sz="4" w:space="0" w:color="1F497D"/>
              <w:bottom w:val="single" w:sz="4" w:space="0" w:color="1F497D"/>
              <w:right w:val="single" w:sz="4" w:space="0" w:color="1F497D"/>
            </w:tcBorders>
            <w:shd w:val="clear" w:color="auto" w:fill="DBE5F1" w:themeFill="accent1" w:themeFillTint="33"/>
            <w:vAlign w:val="center"/>
            <w:hideMark/>
          </w:tcPr>
          <w:p w:rsidR="000C4900" w:rsidRPr="00BC5A3D" w:rsidRDefault="000C4900" w:rsidP="000C4900">
            <w:pPr>
              <w:jc w:val="center"/>
              <w:rPr>
                <w:rFonts w:ascii="Verdana" w:hAnsi="Verdana" w:cs="Calibri"/>
                <w:b/>
                <w:bCs/>
                <w:color w:val="000080"/>
                <w:sz w:val="16"/>
                <w:szCs w:val="16"/>
                <w:lang w:val="es-ES"/>
              </w:rPr>
            </w:pPr>
            <w:r w:rsidRPr="00BC5A3D">
              <w:rPr>
                <w:rFonts w:ascii="Verdana" w:hAnsi="Verdana" w:cs="Calibri"/>
                <w:b/>
                <w:bCs/>
                <w:color w:val="000080"/>
                <w:sz w:val="16"/>
                <w:szCs w:val="16"/>
                <w:lang w:val="es-ES"/>
              </w:rPr>
              <w:t> </w:t>
            </w:r>
          </w:p>
        </w:tc>
      </w:tr>
      <w:tr w:rsidR="000C4900" w:rsidRPr="00E37FBD" w:rsidTr="00BC5A3D">
        <w:trPr>
          <w:trHeight w:val="208"/>
        </w:trPr>
        <w:tc>
          <w:tcPr>
            <w:tcW w:w="317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0C4900" w:rsidRPr="00BC5A3D" w:rsidRDefault="000C4900" w:rsidP="000C4900">
            <w:pPr>
              <w:rPr>
                <w:rFonts w:ascii="Verdana" w:hAnsi="Verdana" w:cs="Calibri"/>
                <w:b/>
                <w:bCs/>
                <w:color w:val="000080"/>
                <w:sz w:val="16"/>
                <w:szCs w:val="16"/>
                <w:lang w:val="es-ES"/>
              </w:rPr>
            </w:pPr>
            <w:r w:rsidRPr="00F703A9">
              <w:rPr>
                <w:rFonts w:ascii="Verdana" w:hAnsi="Verdana" w:cs="Calibri"/>
                <w:b/>
                <w:bCs/>
                <w:color w:val="000080"/>
                <w:sz w:val="16"/>
                <w:szCs w:val="16"/>
                <w:lang w:val="es-ES"/>
              </w:rPr>
              <w:t xml:space="preserve">FIJA </w:t>
            </w:r>
            <w:r>
              <w:rPr>
                <w:rFonts w:ascii="Verdana" w:hAnsi="Verdana" w:cs="Calibri"/>
                <w:b/>
                <w:bCs/>
                <w:color w:val="000080"/>
                <w:sz w:val="16"/>
                <w:szCs w:val="16"/>
                <w:lang w:val="es-ES"/>
              </w:rPr>
              <w:t>-20</w:t>
            </w:r>
            <w:r w:rsidRPr="00F703A9">
              <w:rPr>
                <w:rFonts w:ascii="Verdana" w:hAnsi="Verdana" w:cs="Calibri"/>
                <w:b/>
                <w:bCs/>
                <w:color w:val="000080"/>
                <w:sz w:val="16"/>
                <w:szCs w:val="16"/>
                <w:lang w:val="es-ES"/>
              </w:rPr>
              <w:t xml:space="preserve"> </w:t>
            </w:r>
          </w:p>
        </w:tc>
        <w:tc>
          <w:tcPr>
            <w:tcW w:w="2779" w:type="dxa"/>
            <w:tcBorders>
              <w:top w:val="nil"/>
              <w:left w:val="nil"/>
              <w:bottom w:val="single" w:sz="4" w:space="0" w:color="1F497D"/>
              <w:right w:val="single" w:sz="4" w:space="0" w:color="1F497D"/>
            </w:tcBorders>
            <w:shd w:val="clear" w:color="auto" w:fill="auto"/>
            <w:vAlign w:val="center"/>
            <w:hideMark/>
          </w:tcPr>
          <w:p w:rsidR="000C4900" w:rsidRPr="00BC5A3D" w:rsidRDefault="00667ECF" w:rsidP="00BC5A3D">
            <w:pPr>
              <w:rPr>
                <w:rFonts w:ascii="Verdana" w:hAnsi="Verdana" w:cs="Calibri"/>
                <w:b/>
                <w:bCs/>
                <w:color w:val="000080"/>
                <w:sz w:val="16"/>
                <w:szCs w:val="16"/>
                <w:lang w:val="es-ES"/>
              </w:rPr>
            </w:pPr>
            <w:r>
              <w:rPr>
                <w:rFonts w:ascii="Verdana" w:hAnsi="Verdana" w:cs="Calibri"/>
                <w:b/>
                <w:bCs/>
                <w:color w:val="000080"/>
                <w:sz w:val="16"/>
                <w:szCs w:val="16"/>
                <w:lang w:val="es-ES"/>
              </w:rPr>
              <w:t>3,4</w:t>
            </w:r>
            <w:r w:rsidR="000C4900" w:rsidRPr="00BC5A3D">
              <w:rPr>
                <w:rFonts w:ascii="Verdana" w:hAnsi="Verdana" w:cs="Calibri"/>
                <w:b/>
                <w:bCs/>
                <w:color w:val="000080"/>
                <w:sz w:val="16"/>
                <w:szCs w:val="16"/>
                <w:lang w:val="es-ES"/>
              </w:rPr>
              <w:t>0% (tipo fijo)</w:t>
            </w:r>
          </w:p>
        </w:tc>
        <w:tc>
          <w:tcPr>
            <w:tcW w:w="1984" w:type="dxa"/>
            <w:vMerge/>
            <w:tcBorders>
              <w:top w:val="nil"/>
              <w:left w:val="single" w:sz="4" w:space="0" w:color="1F497D"/>
              <w:bottom w:val="single" w:sz="4" w:space="0" w:color="1F497D"/>
              <w:right w:val="single" w:sz="4" w:space="0" w:color="1F497D"/>
            </w:tcBorders>
            <w:shd w:val="clear" w:color="auto" w:fill="DBE5F1" w:themeFill="accent1" w:themeFillTint="33"/>
            <w:vAlign w:val="center"/>
            <w:hideMark/>
          </w:tcPr>
          <w:p w:rsidR="000C4900" w:rsidRPr="00BC5A3D" w:rsidRDefault="000C4900" w:rsidP="000C4900">
            <w:pPr>
              <w:rPr>
                <w:rFonts w:ascii="Verdana" w:hAnsi="Verdana" w:cs="Calibri"/>
                <w:b/>
                <w:bCs/>
                <w:color w:val="000080"/>
                <w:sz w:val="16"/>
                <w:szCs w:val="16"/>
                <w:lang w:val="es-ES"/>
              </w:rPr>
            </w:pPr>
          </w:p>
        </w:tc>
      </w:tr>
      <w:tr w:rsidR="00CA24FC" w:rsidRPr="00E37FBD" w:rsidTr="00BC5A3D">
        <w:trPr>
          <w:trHeight w:val="416"/>
        </w:trPr>
        <w:tc>
          <w:tcPr>
            <w:tcW w:w="3175" w:type="dxa"/>
            <w:tcBorders>
              <w:top w:val="single" w:sz="4" w:space="0" w:color="1F497D"/>
              <w:left w:val="single" w:sz="4" w:space="0" w:color="1F497D"/>
              <w:bottom w:val="single" w:sz="4" w:space="0" w:color="1F497D"/>
              <w:right w:val="single" w:sz="4" w:space="0" w:color="1F497D"/>
            </w:tcBorders>
            <w:shd w:val="clear" w:color="auto" w:fill="95B3D7" w:themeFill="accent1" w:themeFillTint="99"/>
            <w:vAlign w:val="center"/>
            <w:hideMark/>
          </w:tcPr>
          <w:p w:rsidR="00E37FBD" w:rsidRPr="00BC5A3D" w:rsidRDefault="00E37FBD">
            <w:pPr>
              <w:rPr>
                <w:rFonts w:ascii="Verdana" w:hAnsi="Verdana" w:cs="Calibri"/>
                <w:b/>
                <w:bCs/>
                <w:color w:val="000080"/>
                <w:sz w:val="16"/>
                <w:szCs w:val="16"/>
                <w:lang w:val="es-ES"/>
              </w:rPr>
            </w:pPr>
            <w:r w:rsidRPr="00BC5A3D">
              <w:rPr>
                <w:rFonts w:ascii="Verdana" w:hAnsi="Verdana" w:cs="Calibri"/>
                <w:b/>
                <w:bCs/>
                <w:color w:val="000080"/>
                <w:sz w:val="16"/>
                <w:szCs w:val="16"/>
                <w:lang w:val="es-ES"/>
              </w:rPr>
              <w:t>PRÉSTAMOS  CON GARANTÍA HIPOTECARIA PARA CUALQUIER TIPO DE FINANCIACIÓN</w:t>
            </w:r>
          </w:p>
        </w:tc>
        <w:tc>
          <w:tcPr>
            <w:tcW w:w="2779" w:type="dxa"/>
            <w:tcBorders>
              <w:top w:val="nil"/>
              <w:left w:val="nil"/>
              <w:bottom w:val="single" w:sz="4" w:space="0" w:color="1F497D"/>
              <w:right w:val="single" w:sz="4" w:space="0" w:color="1F497D"/>
            </w:tcBorders>
            <w:shd w:val="clear" w:color="auto" w:fill="B8CCE4" w:themeFill="accent1" w:themeFillTint="66"/>
            <w:vAlign w:val="center"/>
            <w:hideMark/>
          </w:tcPr>
          <w:p w:rsidR="00E37FBD" w:rsidRPr="00BC5A3D" w:rsidRDefault="00E37FBD">
            <w:pPr>
              <w:rPr>
                <w:rFonts w:ascii="Verdana" w:hAnsi="Verdana" w:cs="Calibri"/>
                <w:b/>
                <w:bCs/>
                <w:color w:val="000080"/>
                <w:sz w:val="16"/>
                <w:szCs w:val="16"/>
                <w:lang w:val="es-ES"/>
              </w:rPr>
            </w:pPr>
            <w:r w:rsidRPr="00BC5A3D">
              <w:rPr>
                <w:rFonts w:ascii="Verdana" w:hAnsi="Verdana" w:cs="Calibri"/>
                <w:b/>
                <w:bCs/>
                <w:color w:val="000080"/>
                <w:sz w:val="16"/>
                <w:szCs w:val="16"/>
                <w:lang w:val="es-ES"/>
              </w:rPr>
              <w:t>TIPO DE INTERÉS PRIMER PERIODO</w:t>
            </w:r>
          </w:p>
        </w:tc>
        <w:tc>
          <w:tcPr>
            <w:tcW w:w="1984" w:type="dxa"/>
            <w:tcBorders>
              <w:top w:val="nil"/>
              <w:left w:val="nil"/>
              <w:bottom w:val="single" w:sz="4" w:space="0" w:color="1F497D"/>
              <w:right w:val="single" w:sz="4" w:space="0" w:color="1F497D"/>
            </w:tcBorders>
            <w:shd w:val="clear" w:color="auto" w:fill="B8CCE4" w:themeFill="accent1" w:themeFillTint="66"/>
            <w:vAlign w:val="center"/>
            <w:hideMark/>
          </w:tcPr>
          <w:p w:rsidR="00E37FBD" w:rsidRPr="00BC5A3D" w:rsidRDefault="00E37FBD">
            <w:pPr>
              <w:rPr>
                <w:rFonts w:ascii="Verdana" w:hAnsi="Verdana" w:cs="Calibri"/>
                <w:b/>
                <w:bCs/>
                <w:color w:val="000080"/>
                <w:sz w:val="16"/>
                <w:szCs w:val="16"/>
                <w:lang w:val="es-ES"/>
              </w:rPr>
            </w:pPr>
            <w:r w:rsidRPr="00BC5A3D">
              <w:rPr>
                <w:rFonts w:ascii="Verdana" w:hAnsi="Verdana" w:cs="Calibri"/>
                <w:b/>
                <w:bCs/>
                <w:color w:val="000080"/>
                <w:sz w:val="16"/>
                <w:szCs w:val="16"/>
                <w:lang w:val="es-ES"/>
              </w:rPr>
              <w:t xml:space="preserve">TIPO DE INTERÉS </w:t>
            </w:r>
            <w:r w:rsidR="00CA24FC">
              <w:rPr>
                <w:rFonts w:ascii="Verdana" w:hAnsi="Verdana" w:cs="Calibri"/>
                <w:b/>
                <w:bCs/>
                <w:color w:val="000080"/>
                <w:sz w:val="16"/>
                <w:szCs w:val="16"/>
                <w:lang w:val="es-ES"/>
              </w:rPr>
              <w:t>SEGUNDO</w:t>
            </w:r>
            <w:r w:rsidRPr="00BC5A3D">
              <w:rPr>
                <w:rFonts w:ascii="Verdana" w:hAnsi="Verdana" w:cs="Calibri"/>
                <w:b/>
                <w:bCs/>
                <w:color w:val="000080"/>
                <w:sz w:val="16"/>
                <w:szCs w:val="16"/>
                <w:lang w:val="es-ES"/>
              </w:rPr>
              <w:t xml:space="preserve"> PERIODO</w:t>
            </w:r>
          </w:p>
        </w:tc>
      </w:tr>
      <w:tr w:rsidR="00CA24FC" w:rsidRPr="00E37FBD" w:rsidTr="00BC5A3D">
        <w:trPr>
          <w:trHeight w:val="208"/>
        </w:trPr>
        <w:tc>
          <w:tcPr>
            <w:tcW w:w="317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E37FBD" w:rsidRPr="00BC5A3D" w:rsidRDefault="00E37FBD">
            <w:pPr>
              <w:rPr>
                <w:rFonts w:ascii="Verdana" w:hAnsi="Verdana" w:cs="Calibri"/>
                <w:b/>
                <w:bCs/>
                <w:color w:val="000080"/>
                <w:sz w:val="16"/>
                <w:szCs w:val="16"/>
                <w:lang w:val="es-ES"/>
              </w:rPr>
            </w:pPr>
            <w:r w:rsidRPr="00BC5A3D">
              <w:rPr>
                <w:rFonts w:ascii="Verdana" w:hAnsi="Verdana" w:cs="Calibri"/>
                <w:b/>
                <w:bCs/>
                <w:color w:val="000080"/>
                <w:sz w:val="16"/>
                <w:szCs w:val="16"/>
                <w:lang w:val="es-ES"/>
              </w:rPr>
              <w:t>UNIVERSAL hasta 80 %</w:t>
            </w:r>
          </w:p>
        </w:tc>
        <w:tc>
          <w:tcPr>
            <w:tcW w:w="2779" w:type="dxa"/>
            <w:tcBorders>
              <w:top w:val="nil"/>
              <w:left w:val="nil"/>
              <w:bottom w:val="single" w:sz="4" w:space="0" w:color="1F497D"/>
              <w:right w:val="single" w:sz="4" w:space="0" w:color="1F497D"/>
            </w:tcBorders>
            <w:shd w:val="clear" w:color="auto" w:fill="auto"/>
            <w:vAlign w:val="center"/>
            <w:hideMark/>
          </w:tcPr>
          <w:p w:rsidR="00E37FBD" w:rsidRPr="00BC5A3D" w:rsidRDefault="00E37FBD" w:rsidP="00BC5A3D">
            <w:pPr>
              <w:rPr>
                <w:rFonts w:ascii="Verdana" w:hAnsi="Verdana" w:cs="Calibri"/>
                <w:b/>
                <w:bCs/>
                <w:color w:val="000080"/>
                <w:sz w:val="16"/>
                <w:szCs w:val="16"/>
                <w:lang w:val="es-ES"/>
              </w:rPr>
            </w:pPr>
            <w:r w:rsidRPr="00BC5A3D">
              <w:rPr>
                <w:rFonts w:ascii="Verdana" w:hAnsi="Verdana" w:cs="Calibri"/>
                <w:b/>
                <w:bCs/>
                <w:color w:val="000080"/>
                <w:sz w:val="16"/>
                <w:szCs w:val="16"/>
                <w:lang w:val="es-ES"/>
              </w:rPr>
              <w:t>2,50% (tipo fijo 1er año)</w:t>
            </w:r>
          </w:p>
        </w:tc>
        <w:tc>
          <w:tcPr>
            <w:tcW w:w="1984" w:type="dxa"/>
            <w:tcBorders>
              <w:top w:val="nil"/>
              <w:left w:val="nil"/>
              <w:bottom w:val="single" w:sz="4" w:space="0" w:color="1F497D"/>
              <w:right w:val="single" w:sz="4" w:space="0" w:color="1F497D"/>
            </w:tcBorders>
            <w:shd w:val="clear" w:color="auto" w:fill="auto"/>
            <w:vAlign w:val="center"/>
            <w:hideMark/>
          </w:tcPr>
          <w:p w:rsidR="00E37FBD" w:rsidRPr="00BC5A3D" w:rsidRDefault="00E37FBD" w:rsidP="00D224FD">
            <w:pPr>
              <w:jc w:val="center"/>
              <w:rPr>
                <w:rFonts w:ascii="Verdana" w:hAnsi="Verdana" w:cs="Calibri"/>
                <w:b/>
                <w:bCs/>
                <w:color w:val="000080"/>
                <w:sz w:val="16"/>
                <w:szCs w:val="16"/>
                <w:lang w:val="es-ES"/>
              </w:rPr>
            </w:pPr>
            <w:r w:rsidRPr="00BC5A3D">
              <w:rPr>
                <w:rFonts w:ascii="Verdana" w:hAnsi="Verdana" w:cs="Calibri"/>
                <w:b/>
                <w:bCs/>
                <w:color w:val="000080"/>
                <w:sz w:val="16"/>
                <w:szCs w:val="16"/>
                <w:lang w:val="es-ES"/>
              </w:rPr>
              <w:t>Euribor + 2,</w:t>
            </w:r>
            <w:r w:rsidR="00D224FD">
              <w:rPr>
                <w:rFonts w:ascii="Verdana" w:hAnsi="Verdana" w:cs="Calibri"/>
                <w:b/>
                <w:bCs/>
                <w:color w:val="000080"/>
                <w:sz w:val="16"/>
                <w:szCs w:val="16"/>
                <w:lang w:val="es-ES"/>
              </w:rPr>
              <w:t>2</w:t>
            </w:r>
            <w:r w:rsidR="003843BC">
              <w:rPr>
                <w:rFonts w:ascii="Verdana" w:hAnsi="Verdana" w:cs="Calibri"/>
                <w:b/>
                <w:bCs/>
                <w:color w:val="000080"/>
                <w:sz w:val="16"/>
                <w:szCs w:val="16"/>
                <w:lang w:val="es-ES"/>
              </w:rPr>
              <w:t>6</w:t>
            </w:r>
          </w:p>
        </w:tc>
      </w:tr>
      <w:tr w:rsidR="00CA24FC" w:rsidRPr="00E37FBD" w:rsidTr="00BC5A3D">
        <w:trPr>
          <w:trHeight w:val="208"/>
        </w:trPr>
        <w:tc>
          <w:tcPr>
            <w:tcW w:w="3175"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E37FBD" w:rsidRPr="00BC5A3D" w:rsidRDefault="00E37FBD">
            <w:pPr>
              <w:rPr>
                <w:rFonts w:ascii="Verdana" w:hAnsi="Verdana" w:cs="Calibri"/>
                <w:b/>
                <w:bCs/>
                <w:color w:val="000080"/>
                <w:sz w:val="16"/>
                <w:szCs w:val="16"/>
                <w:lang w:val="es-ES"/>
              </w:rPr>
            </w:pPr>
            <w:r w:rsidRPr="00BC5A3D">
              <w:rPr>
                <w:rFonts w:ascii="Verdana" w:hAnsi="Verdana" w:cs="Calibri"/>
                <w:b/>
                <w:bCs/>
                <w:color w:val="000080"/>
                <w:sz w:val="16"/>
                <w:szCs w:val="16"/>
                <w:lang w:val="es-ES"/>
              </w:rPr>
              <w:t>UNIVERSAL superior 80 %</w:t>
            </w:r>
          </w:p>
        </w:tc>
        <w:tc>
          <w:tcPr>
            <w:tcW w:w="2779" w:type="dxa"/>
            <w:tcBorders>
              <w:top w:val="nil"/>
              <w:left w:val="nil"/>
              <w:bottom w:val="single" w:sz="4" w:space="0" w:color="1F497D"/>
              <w:right w:val="single" w:sz="4" w:space="0" w:color="1F497D"/>
            </w:tcBorders>
            <w:shd w:val="clear" w:color="auto" w:fill="auto"/>
            <w:vAlign w:val="center"/>
            <w:hideMark/>
          </w:tcPr>
          <w:p w:rsidR="00E37FBD" w:rsidRPr="00BC5A3D" w:rsidRDefault="003843BC" w:rsidP="00BC5A3D">
            <w:pPr>
              <w:rPr>
                <w:rFonts w:ascii="Verdana" w:hAnsi="Verdana" w:cs="Calibri"/>
                <w:b/>
                <w:bCs/>
                <w:color w:val="000080"/>
                <w:sz w:val="16"/>
                <w:szCs w:val="16"/>
                <w:lang w:val="es-ES"/>
              </w:rPr>
            </w:pPr>
            <w:r>
              <w:rPr>
                <w:rFonts w:ascii="Verdana" w:hAnsi="Verdana" w:cs="Calibri"/>
                <w:b/>
                <w:bCs/>
                <w:color w:val="000080"/>
                <w:sz w:val="16"/>
                <w:szCs w:val="16"/>
                <w:lang w:val="es-ES"/>
              </w:rPr>
              <w:t>3</w:t>
            </w:r>
            <w:r w:rsidR="00E37FBD" w:rsidRPr="00BC5A3D">
              <w:rPr>
                <w:rFonts w:ascii="Verdana" w:hAnsi="Verdana" w:cs="Calibri"/>
                <w:b/>
                <w:bCs/>
                <w:color w:val="000080"/>
                <w:sz w:val="16"/>
                <w:szCs w:val="16"/>
                <w:lang w:val="es-ES"/>
              </w:rPr>
              <w:t>,50% (tipo fijo 1er año)</w:t>
            </w:r>
          </w:p>
        </w:tc>
        <w:tc>
          <w:tcPr>
            <w:tcW w:w="1984" w:type="dxa"/>
            <w:tcBorders>
              <w:top w:val="nil"/>
              <w:left w:val="nil"/>
              <w:bottom w:val="single" w:sz="4" w:space="0" w:color="1F497D"/>
              <w:right w:val="single" w:sz="4" w:space="0" w:color="1F497D"/>
            </w:tcBorders>
            <w:shd w:val="clear" w:color="auto" w:fill="auto"/>
            <w:vAlign w:val="center"/>
            <w:hideMark/>
          </w:tcPr>
          <w:p w:rsidR="00E37FBD" w:rsidRPr="00BC5A3D" w:rsidRDefault="003843BC">
            <w:pPr>
              <w:jc w:val="center"/>
              <w:rPr>
                <w:rFonts w:ascii="Verdana" w:hAnsi="Verdana" w:cs="Calibri"/>
                <w:b/>
                <w:bCs/>
                <w:color w:val="000080"/>
                <w:sz w:val="16"/>
                <w:szCs w:val="16"/>
                <w:lang w:val="es-ES"/>
              </w:rPr>
            </w:pPr>
            <w:r>
              <w:rPr>
                <w:rFonts w:ascii="Verdana" w:hAnsi="Verdana" w:cs="Calibri"/>
                <w:b/>
                <w:bCs/>
                <w:color w:val="000080"/>
                <w:sz w:val="16"/>
                <w:szCs w:val="16"/>
                <w:lang w:val="es-ES"/>
              </w:rPr>
              <w:t>Euribor + 3,2</w:t>
            </w:r>
            <w:r w:rsidR="00E37FBD" w:rsidRPr="00BC5A3D">
              <w:rPr>
                <w:rFonts w:ascii="Verdana" w:hAnsi="Verdana" w:cs="Calibri"/>
                <w:b/>
                <w:bCs/>
                <w:color w:val="000080"/>
                <w:sz w:val="16"/>
                <w:szCs w:val="16"/>
                <w:lang w:val="es-ES"/>
              </w:rPr>
              <w:t>6</w:t>
            </w:r>
          </w:p>
        </w:tc>
      </w:tr>
    </w:tbl>
    <w:p w:rsidR="00434814" w:rsidRPr="0016638D" w:rsidRDefault="00434814" w:rsidP="008760B6">
      <w:pPr>
        <w:ind w:left="284" w:right="-55"/>
        <w:jc w:val="both"/>
        <w:rPr>
          <w:rFonts w:ascii="Verdana" w:hAnsi="Verdana"/>
          <w:b/>
        </w:rPr>
      </w:pPr>
    </w:p>
    <w:p w:rsidR="005E1A71" w:rsidRDefault="005E1A71" w:rsidP="008760B6">
      <w:pPr>
        <w:pStyle w:val="Prrafodelista"/>
        <w:rPr>
          <w:rFonts w:ascii="Verdana" w:hAnsi="Verdana"/>
          <w:b/>
          <w:sz w:val="20"/>
          <w:szCs w:val="20"/>
        </w:rPr>
      </w:pPr>
    </w:p>
    <w:p w:rsidR="006F74ED" w:rsidRDefault="00434814" w:rsidP="00395790">
      <w:pPr>
        <w:numPr>
          <w:ilvl w:val="0"/>
          <w:numId w:val="5"/>
        </w:numPr>
        <w:ind w:right="-55"/>
        <w:jc w:val="both"/>
        <w:rPr>
          <w:rFonts w:ascii="Verdana" w:hAnsi="Verdana"/>
          <w:b/>
        </w:rPr>
      </w:pPr>
      <w:r>
        <w:rPr>
          <w:rFonts w:ascii="Verdana" w:hAnsi="Verdana"/>
          <w:b/>
        </w:rPr>
        <w:t>En el supuesto de contratar un préstamo hipotecario a tipo variable</w:t>
      </w:r>
      <w:r w:rsidR="00395790">
        <w:rPr>
          <w:rFonts w:ascii="Verdana" w:hAnsi="Verdana"/>
          <w:b/>
        </w:rPr>
        <w:t xml:space="preserve">: </w:t>
      </w:r>
      <w:r w:rsidR="00CD235B">
        <w:rPr>
          <w:rFonts w:ascii="Verdana" w:hAnsi="Verdana"/>
          <w:b/>
        </w:rPr>
        <w:t>en caso de que la suma del tipo de interés de referencia y el diferencial que aplique en cada caso diera un valor negativo, el préstamo hipotecario no conllevará el pago de intereses a favor de los prestatarios, si bien durante ese periodo los prestatarios no tendrán que pagar intereses</w:t>
      </w:r>
      <w:r w:rsidR="00395790">
        <w:rPr>
          <w:rFonts w:ascii="Verdana" w:hAnsi="Verdana"/>
          <w:b/>
        </w:rPr>
        <w:t xml:space="preserve"> </w:t>
      </w:r>
      <w:r w:rsidR="00240F2D" w:rsidRPr="00395790">
        <w:rPr>
          <w:rFonts w:ascii="Verdana" w:hAnsi="Verdana"/>
          <w:b/>
        </w:rPr>
        <w:t>por</w:t>
      </w:r>
      <w:r w:rsidR="00313B4B" w:rsidRPr="00395790">
        <w:rPr>
          <w:rFonts w:ascii="Verdana" w:hAnsi="Verdana"/>
          <w:b/>
        </w:rPr>
        <w:t xml:space="preserve"> </w:t>
      </w:r>
      <w:r w:rsidR="00A96E90" w:rsidRPr="0002789C">
        <w:rPr>
          <w:rFonts w:ascii="Verdana" w:hAnsi="Verdana"/>
          <w:b/>
        </w:rPr>
        <w:t>dicho</w:t>
      </w:r>
      <w:r w:rsidR="00313B4B" w:rsidRPr="0002789C">
        <w:rPr>
          <w:rFonts w:ascii="Verdana" w:hAnsi="Verdana"/>
          <w:b/>
        </w:rPr>
        <w:t xml:space="preserve"> mot</w:t>
      </w:r>
      <w:r w:rsidR="00313B4B" w:rsidRPr="002F3B55">
        <w:rPr>
          <w:rFonts w:ascii="Verdana" w:hAnsi="Verdana"/>
          <w:b/>
        </w:rPr>
        <w:t xml:space="preserve">ivo y para acreditar el conocimiento y la conformidad de esa limitación, dando cumplimiento a la resolución del 8/10/2015 de la Dirección General de los Registros y del Notariado, </w:t>
      </w:r>
      <w:r w:rsidR="009C2443">
        <w:rPr>
          <w:rFonts w:ascii="Verdana" w:hAnsi="Verdana"/>
          <w:b/>
        </w:rPr>
        <w:t xml:space="preserve">los intervinientes de la parte prestaría </w:t>
      </w:r>
      <w:r w:rsidR="00313B4B" w:rsidRPr="002F3B55">
        <w:rPr>
          <w:rFonts w:ascii="Verdana" w:hAnsi="Verdana"/>
          <w:b/>
        </w:rPr>
        <w:t>manuscribirá</w:t>
      </w:r>
      <w:r w:rsidR="00D62420">
        <w:rPr>
          <w:rFonts w:ascii="Verdana" w:hAnsi="Verdana"/>
          <w:b/>
        </w:rPr>
        <w:t>n</w:t>
      </w:r>
      <w:r w:rsidR="00313B4B" w:rsidRPr="002F3B55">
        <w:rPr>
          <w:rFonts w:ascii="Verdana" w:hAnsi="Verdana"/>
          <w:b/>
        </w:rPr>
        <w:t xml:space="preserve">, de su puño y letra, el día de </w:t>
      </w:r>
      <w:r w:rsidR="00313B4B" w:rsidRPr="00395790">
        <w:rPr>
          <w:rFonts w:ascii="Verdana" w:hAnsi="Verdana"/>
          <w:b/>
        </w:rPr>
        <w:t xml:space="preserve">la formalización del préstamo/crédito ante notario, su conformidad a la aplicación del límite establecido. </w:t>
      </w:r>
    </w:p>
    <w:p w:rsidR="00E37FBD" w:rsidRPr="00395790" w:rsidRDefault="00E37FBD" w:rsidP="00BC5A3D">
      <w:pPr>
        <w:ind w:left="284" w:right="-55"/>
        <w:jc w:val="both"/>
        <w:rPr>
          <w:rFonts w:ascii="Verdana" w:hAnsi="Verdana"/>
          <w:b/>
        </w:rPr>
      </w:pPr>
    </w:p>
    <w:p w:rsidR="0002789C" w:rsidRPr="009B631A" w:rsidRDefault="0002789C" w:rsidP="00BC5A3D">
      <w:pPr>
        <w:pStyle w:val="Prrafodelista"/>
        <w:numPr>
          <w:ilvl w:val="0"/>
          <w:numId w:val="5"/>
        </w:numPr>
        <w:jc w:val="both"/>
        <w:rPr>
          <w:rFonts w:ascii="Verdana" w:hAnsi="Verdana"/>
          <w:sz w:val="20"/>
          <w:szCs w:val="20"/>
        </w:rPr>
      </w:pPr>
      <w:r w:rsidRPr="009B631A">
        <w:rPr>
          <w:rFonts w:ascii="Verdana" w:hAnsi="Verdana"/>
          <w:sz w:val="20"/>
          <w:szCs w:val="20"/>
        </w:rPr>
        <w:t>En el supuesto de demora de las obligaciones de pago asumidas por la persona consumidora, el interés de demora será el tipo de interés vigente más 2 puntos, sin que el tipo resultante pueda superar los límites legales establecidos actualmente de 3 veces el interés legal del dinero. Su fórmula de liquidación será la siguiente:</w:t>
      </w:r>
    </w:p>
    <w:p w:rsidR="0002789C" w:rsidRPr="002026D5" w:rsidRDefault="0002789C" w:rsidP="0002789C">
      <w:pPr>
        <w:pStyle w:val="Prrafodelista"/>
        <w:rPr>
          <w:rFonts w:ascii="Verdana" w:hAnsi="Verdana"/>
          <w:b/>
          <w:color w:val="FF0000"/>
        </w:rPr>
      </w:pPr>
    </w:p>
    <w:p w:rsidR="0002789C" w:rsidRPr="009B631A" w:rsidRDefault="0002789C" w:rsidP="0002789C">
      <w:pPr>
        <w:pStyle w:val="Prrafodelista"/>
        <w:ind w:left="1418"/>
        <w:rPr>
          <w:rFonts w:ascii="Verdana" w:hAnsi="Verdana"/>
          <w:sz w:val="20"/>
          <w:szCs w:val="20"/>
        </w:rPr>
      </w:pPr>
      <w:r w:rsidRPr="009B631A">
        <w:rPr>
          <w:rFonts w:ascii="Verdana" w:hAnsi="Verdana"/>
          <w:sz w:val="20"/>
          <w:szCs w:val="20"/>
        </w:rPr>
        <w:t xml:space="preserve">Id=   </w:t>
      </w:r>
      <w:r w:rsidRPr="009B631A">
        <w:rPr>
          <w:rFonts w:ascii="Verdana" w:hAnsi="Verdana"/>
          <w:sz w:val="20"/>
          <w:szCs w:val="20"/>
          <w:u w:val="single"/>
        </w:rPr>
        <w:t>Iv . Rd .T</w:t>
      </w:r>
    </w:p>
    <w:p w:rsidR="0002789C" w:rsidRPr="009B631A" w:rsidRDefault="0002789C" w:rsidP="0002789C">
      <w:pPr>
        <w:ind w:left="1418"/>
        <w:rPr>
          <w:rFonts w:ascii="Verdana" w:hAnsi="Verdana"/>
        </w:rPr>
      </w:pPr>
      <w:r w:rsidRPr="009B631A">
        <w:rPr>
          <w:rFonts w:ascii="Verdana" w:hAnsi="Verdana"/>
        </w:rPr>
        <w:t xml:space="preserve"> </w:t>
      </w:r>
      <w:r w:rsidRPr="009B631A">
        <w:rPr>
          <w:rFonts w:ascii="Verdana" w:hAnsi="Verdana"/>
        </w:rPr>
        <w:tab/>
        <w:t>36.500</w:t>
      </w:r>
    </w:p>
    <w:p w:rsidR="0002789C" w:rsidRDefault="0002789C" w:rsidP="0002789C">
      <w:pPr>
        <w:ind w:left="708"/>
        <w:rPr>
          <w:rFonts w:ascii="Verdana" w:hAnsi="Verdana"/>
          <w:b/>
          <w:color w:val="FF0000"/>
        </w:rPr>
      </w:pPr>
      <w:r>
        <w:rPr>
          <w:rFonts w:ascii="Verdana" w:hAnsi="Verdana"/>
          <w:b/>
          <w:color w:val="FF0000"/>
        </w:rPr>
        <w:t xml:space="preserve">    </w:t>
      </w:r>
    </w:p>
    <w:p w:rsidR="0002789C" w:rsidRPr="00FE6320" w:rsidRDefault="0002789C" w:rsidP="0002789C">
      <w:pPr>
        <w:ind w:left="708"/>
        <w:rPr>
          <w:rFonts w:ascii="Verdana" w:hAnsi="Verdana"/>
        </w:rPr>
      </w:pPr>
      <w:r>
        <w:rPr>
          <w:rFonts w:ascii="Verdana" w:hAnsi="Verdana"/>
          <w:b/>
          <w:color w:val="FF0000"/>
        </w:rPr>
        <w:t xml:space="preserve"> </w:t>
      </w:r>
      <w:r w:rsidRPr="00FE6320">
        <w:rPr>
          <w:rFonts w:ascii="Verdana" w:hAnsi="Verdana"/>
        </w:rPr>
        <w:t xml:space="preserve">Dónde: </w:t>
      </w:r>
    </w:p>
    <w:p w:rsidR="0002789C" w:rsidRPr="00FE6320" w:rsidRDefault="0002789C" w:rsidP="0002789C">
      <w:pPr>
        <w:ind w:left="708"/>
        <w:rPr>
          <w:rFonts w:ascii="Verdana" w:hAnsi="Verdana"/>
        </w:rPr>
      </w:pPr>
      <w:r w:rsidRPr="00FE6320">
        <w:rPr>
          <w:rFonts w:ascii="Verdana" w:hAnsi="Verdana"/>
        </w:rPr>
        <w:t xml:space="preserve">      Id = Interés de demora.</w:t>
      </w:r>
    </w:p>
    <w:p w:rsidR="0002789C" w:rsidRPr="00FE6320" w:rsidRDefault="0002789C" w:rsidP="0002789C">
      <w:pPr>
        <w:ind w:left="708"/>
        <w:rPr>
          <w:rFonts w:ascii="Verdana" w:hAnsi="Verdana"/>
        </w:rPr>
      </w:pPr>
      <w:r w:rsidRPr="00FE6320">
        <w:rPr>
          <w:rFonts w:ascii="Verdana" w:hAnsi="Verdana"/>
        </w:rPr>
        <w:t xml:space="preserve">      Iv=Importes vencidos</w:t>
      </w:r>
    </w:p>
    <w:p w:rsidR="0002789C" w:rsidRPr="00FE6320" w:rsidRDefault="0002789C" w:rsidP="0002789C">
      <w:pPr>
        <w:ind w:left="708"/>
        <w:rPr>
          <w:rFonts w:ascii="Verdana" w:hAnsi="Verdana"/>
        </w:rPr>
      </w:pPr>
      <w:r w:rsidRPr="00FE6320">
        <w:rPr>
          <w:rFonts w:ascii="Verdana" w:hAnsi="Verdana"/>
        </w:rPr>
        <w:t xml:space="preserve">      Rd=Tipo ints. demora en tanto por ciento.</w:t>
      </w:r>
    </w:p>
    <w:p w:rsidR="0002789C" w:rsidRPr="00FE6320" w:rsidRDefault="0002789C" w:rsidP="0002789C">
      <w:pPr>
        <w:ind w:left="708"/>
        <w:rPr>
          <w:rFonts w:ascii="Verdana" w:hAnsi="Verdana"/>
        </w:rPr>
      </w:pPr>
      <w:r w:rsidRPr="00FE6320">
        <w:rPr>
          <w:rFonts w:ascii="Verdana" w:hAnsi="Verdana"/>
        </w:rPr>
        <w:t xml:space="preserve">      T= Días entre la fecha de vencimiento hasta la fecha de cobro.</w:t>
      </w:r>
    </w:p>
    <w:p w:rsidR="00A96E90" w:rsidRDefault="00A96E90">
      <w:pPr>
        <w:rPr>
          <w:rFonts w:ascii="Verdana" w:hAnsi="Verdana"/>
          <w:b/>
        </w:rPr>
      </w:pPr>
      <w:r>
        <w:rPr>
          <w:rFonts w:ascii="Verdana" w:hAnsi="Verdana"/>
          <w:b/>
        </w:rPr>
        <w:br w:type="page"/>
      </w:r>
    </w:p>
    <w:p w:rsidR="00434814" w:rsidRDefault="00434814" w:rsidP="008760B6">
      <w:pPr>
        <w:ind w:left="709" w:right="-55"/>
        <w:jc w:val="both"/>
        <w:rPr>
          <w:rFonts w:ascii="Verdana" w:hAnsi="Verdana"/>
        </w:rPr>
      </w:pPr>
    </w:p>
    <w:p w:rsidR="00434814" w:rsidRPr="00034CDD" w:rsidRDefault="00434814" w:rsidP="00434814">
      <w:pPr>
        <w:numPr>
          <w:ilvl w:val="2"/>
          <w:numId w:val="5"/>
        </w:numPr>
        <w:ind w:right="-55"/>
        <w:jc w:val="both"/>
        <w:rPr>
          <w:rFonts w:ascii="Verdana" w:hAnsi="Verdana"/>
        </w:rPr>
      </w:pPr>
      <w:r>
        <w:rPr>
          <w:rFonts w:ascii="Verdana" w:hAnsi="Verdana"/>
        </w:rPr>
        <w:t>alza (techos) del tipo de interés variable</w:t>
      </w:r>
      <w:r w:rsidRPr="00034CDD">
        <w:rPr>
          <w:rFonts w:ascii="Verdana" w:hAnsi="Verdana"/>
        </w:rPr>
        <w:t xml:space="preserve"> </w:t>
      </w:r>
    </w:p>
    <w:p w:rsidR="00434814" w:rsidRDefault="00434814" w:rsidP="008760B6">
      <w:pPr>
        <w:ind w:right="-55"/>
        <w:jc w:val="both"/>
        <w:rPr>
          <w:rFonts w:ascii="Verdana" w:hAnsi="Verdana"/>
          <w:color w:val="3366FF"/>
          <w:u w:val="single"/>
        </w:rPr>
      </w:pPr>
    </w:p>
    <w:p w:rsidR="00434814" w:rsidRPr="00F93504" w:rsidRDefault="003F2179" w:rsidP="008760B6">
      <w:pPr>
        <w:ind w:right="-55"/>
        <w:jc w:val="both"/>
        <w:rPr>
          <w:rFonts w:ascii="Verdana" w:hAnsi="Verdana"/>
          <w:color w:val="3366FF"/>
        </w:rPr>
      </w:pPr>
      <w:r>
        <w:rPr>
          <w:rFonts w:ascii="Verdana" w:hAnsi="Verdana"/>
          <w:noProof/>
          <w:color w:val="3366FF"/>
          <w:u w:val="single"/>
        </w:rPr>
        <w:pict>
          <v:rect id="_x0000_s1029" style="position:absolute;left:0;text-align:left;margin-left:-1.05pt;margin-top:-23.5pt;width:498.75pt;height:18.75pt;z-index:251662336" fillcolor="#4f81bd">
            <v:textbox>
              <w:txbxContent>
                <w:p w:rsidR="00C90EE5" w:rsidRPr="00750752" w:rsidRDefault="00C90EE5" w:rsidP="008760B6">
                  <w:pPr>
                    <w:rPr>
                      <w:rFonts w:ascii="Verdana" w:hAnsi="Verdana"/>
                      <w:color w:val="FFFFFF"/>
                    </w:rPr>
                  </w:pPr>
                  <w:r>
                    <w:rPr>
                      <w:rFonts w:ascii="Verdana" w:hAnsi="Verdana"/>
                      <w:color w:val="FFFFFF"/>
                    </w:rPr>
                    <w:t>Vinculaciones y Gastos Preparatorios</w:t>
                  </w:r>
                </w:p>
              </w:txbxContent>
            </v:textbox>
          </v:rect>
        </w:pict>
      </w:r>
    </w:p>
    <w:p w:rsidR="00434814" w:rsidRPr="00BC5A3D" w:rsidRDefault="00434814" w:rsidP="00BC5A3D">
      <w:pPr>
        <w:pStyle w:val="Prrafodelista"/>
        <w:numPr>
          <w:ilvl w:val="0"/>
          <w:numId w:val="14"/>
        </w:numPr>
        <w:ind w:right="-55"/>
        <w:jc w:val="both"/>
        <w:rPr>
          <w:rFonts w:ascii="Verdana" w:hAnsi="Verdana"/>
          <w:b/>
          <w:sz w:val="22"/>
          <w:szCs w:val="22"/>
        </w:rPr>
      </w:pPr>
      <w:r w:rsidRPr="00BC5A3D">
        <w:rPr>
          <w:rFonts w:ascii="Verdana" w:hAnsi="Verdana"/>
          <w:b/>
          <w:sz w:val="22"/>
          <w:szCs w:val="22"/>
        </w:rPr>
        <w:t>Vinculaciones:</w:t>
      </w:r>
    </w:p>
    <w:p w:rsidR="00434814" w:rsidRDefault="00434814" w:rsidP="008760B6">
      <w:pPr>
        <w:ind w:right="-55"/>
        <w:jc w:val="both"/>
        <w:rPr>
          <w:rFonts w:ascii="Verdana" w:hAnsi="Verdana"/>
        </w:rPr>
      </w:pPr>
    </w:p>
    <w:p w:rsidR="00434814" w:rsidRDefault="00434814" w:rsidP="008760B6">
      <w:pPr>
        <w:ind w:left="708" w:right="-55"/>
        <w:jc w:val="both"/>
        <w:rPr>
          <w:rFonts w:ascii="Verdana" w:hAnsi="Verdana"/>
        </w:rPr>
      </w:pPr>
      <w:r w:rsidRPr="00F71C6A">
        <w:rPr>
          <w:rFonts w:ascii="Verdana" w:hAnsi="Verdana"/>
          <w:b/>
        </w:rPr>
        <w:t>BONIFICACIÓN DEL TIPO DE INTERÉS:</w:t>
      </w:r>
      <w:r w:rsidRPr="00F71C6A">
        <w:rPr>
          <w:rFonts w:ascii="Verdana" w:hAnsi="Verdana"/>
        </w:rPr>
        <w:t xml:space="preserve"> </w:t>
      </w:r>
      <w:r>
        <w:rPr>
          <w:rFonts w:ascii="Verdana" w:hAnsi="Verdana"/>
        </w:rPr>
        <w:t>Se e</w:t>
      </w:r>
      <w:r w:rsidRPr="00F71C6A">
        <w:rPr>
          <w:rFonts w:ascii="Verdana" w:hAnsi="Verdana"/>
        </w:rPr>
        <w:t>stablece la posibilidad de una mejora o bonificación progresiva y acumulativa del tipo de interés, con la contratación y mantenimiento de los productos y servicios que se relacionan a continuación:</w:t>
      </w:r>
    </w:p>
    <w:p w:rsidR="00434814" w:rsidRDefault="00434814" w:rsidP="008760B6">
      <w:pPr>
        <w:ind w:left="708" w:right="-55"/>
        <w:jc w:val="both"/>
        <w:rPr>
          <w:rFonts w:ascii="Verdana" w:hAnsi="Verdana"/>
        </w:rPr>
      </w:pPr>
    </w:p>
    <w:tbl>
      <w:tblPr>
        <w:tblW w:w="9214" w:type="dxa"/>
        <w:tblInd w:w="354"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CellMar>
          <w:left w:w="70" w:type="dxa"/>
          <w:right w:w="70" w:type="dxa"/>
        </w:tblCellMar>
        <w:tblLook w:val="04A0" w:firstRow="1" w:lastRow="0" w:firstColumn="1" w:lastColumn="0" w:noHBand="0" w:noVBand="1"/>
      </w:tblPr>
      <w:tblGrid>
        <w:gridCol w:w="2268"/>
        <w:gridCol w:w="1134"/>
        <w:gridCol w:w="1438"/>
        <w:gridCol w:w="1539"/>
        <w:gridCol w:w="1296"/>
        <w:gridCol w:w="1539"/>
      </w:tblGrid>
      <w:tr w:rsidR="000232D5" w:rsidRPr="009131EA" w:rsidTr="000232D5">
        <w:trPr>
          <w:trHeight w:val="315"/>
        </w:trPr>
        <w:tc>
          <w:tcPr>
            <w:tcW w:w="2268" w:type="dxa"/>
            <w:shd w:val="clear" w:color="000000" w:fill="EEECE1"/>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Modalidad</w:t>
            </w:r>
          </w:p>
        </w:tc>
        <w:tc>
          <w:tcPr>
            <w:tcW w:w="2572" w:type="dxa"/>
            <w:gridSpan w:val="2"/>
            <w:shd w:val="clear" w:color="000000" w:fill="EEECE1"/>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Hogar y Universal</w:t>
            </w:r>
          </w:p>
        </w:tc>
        <w:tc>
          <w:tcPr>
            <w:tcW w:w="2835" w:type="dxa"/>
            <w:gridSpan w:val="2"/>
            <w:shd w:val="clear" w:color="000000" w:fill="EEECE1"/>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Mixta</w:t>
            </w:r>
          </w:p>
        </w:tc>
        <w:tc>
          <w:tcPr>
            <w:tcW w:w="1539" w:type="dxa"/>
            <w:shd w:val="clear" w:color="000000" w:fill="EEECE1"/>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Fija</w:t>
            </w:r>
          </w:p>
        </w:tc>
      </w:tr>
      <w:tr w:rsidR="000232D5" w:rsidRPr="009131EA" w:rsidTr="000232D5">
        <w:trPr>
          <w:trHeight w:val="315"/>
        </w:trPr>
        <w:tc>
          <w:tcPr>
            <w:tcW w:w="2268" w:type="dxa"/>
            <w:vMerge w:val="restart"/>
            <w:shd w:val="clear" w:color="000000" w:fill="B8CCE4"/>
            <w:vAlign w:val="center"/>
            <w:hideMark/>
          </w:tcPr>
          <w:p w:rsidR="009131EA" w:rsidRPr="009131EA" w:rsidRDefault="009131EA" w:rsidP="009131EA">
            <w:pPr>
              <w:jc w:val="center"/>
              <w:rPr>
                <w:rFonts w:ascii="Verdana" w:hAnsi="Verdana" w:cs="Calibri"/>
                <w:b/>
                <w:bCs/>
                <w:color w:val="000080"/>
                <w:sz w:val="16"/>
                <w:szCs w:val="16"/>
                <w:lang w:val="es-ES"/>
              </w:rPr>
            </w:pPr>
            <w:r w:rsidRPr="009131EA">
              <w:rPr>
                <w:rFonts w:ascii="Verdana" w:hAnsi="Verdana" w:cs="Calibri"/>
                <w:b/>
                <w:bCs/>
                <w:color w:val="000080"/>
                <w:sz w:val="16"/>
                <w:szCs w:val="16"/>
                <w:lang w:val="es-ES"/>
              </w:rPr>
              <w:t>Productos y servicios</w:t>
            </w:r>
          </w:p>
        </w:tc>
        <w:tc>
          <w:tcPr>
            <w:tcW w:w="2572" w:type="dxa"/>
            <w:gridSpan w:val="2"/>
            <w:shd w:val="clear" w:color="000000" w:fill="B8CCE4"/>
            <w:vAlign w:val="center"/>
            <w:hideMark/>
          </w:tcPr>
          <w:p w:rsidR="009131EA" w:rsidRPr="009131EA" w:rsidRDefault="009131EA" w:rsidP="009131EA">
            <w:pPr>
              <w:jc w:val="center"/>
              <w:rPr>
                <w:rFonts w:ascii="Verdana" w:hAnsi="Verdana" w:cs="Calibri"/>
                <w:b/>
                <w:bCs/>
                <w:color w:val="000080"/>
                <w:sz w:val="16"/>
                <w:szCs w:val="16"/>
                <w:lang w:val="es-ES"/>
              </w:rPr>
            </w:pPr>
            <w:r w:rsidRPr="009131EA">
              <w:rPr>
                <w:rFonts w:ascii="Verdana" w:hAnsi="Verdana" w:cs="Calibri"/>
                <w:b/>
                <w:bCs/>
                <w:color w:val="000080"/>
                <w:sz w:val="16"/>
                <w:szCs w:val="16"/>
                <w:lang w:val="es-ES"/>
              </w:rPr>
              <w:t xml:space="preserve">Bonificaciones </w:t>
            </w:r>
          </w:p>
        </w:tc>
        <w:tc>
          <w:tcPr>
            <w:tcW w:w="2835" w:type="dxa"/>
            <w:gridSpan w:val="2"/>
            <w:shd w:val="clear" w:color="000000" w:fill="B8CCE4"/>
            <w:vAlign w:val="center"/>
            <w:hideMark/>
          </w:tcPr>
          <w:p w:rsidR="009131EA" w:rsidRPr="009131EA" w:rsidRDefault="009131EA" w:rsidP="009131EA">
            <w:pPr>
              <w:jc w:val="center"/>
              <w:rPr>
                <w:rFonts w:ascii="Verdana" w:hAnsi="Verdana" w:cs="Calibri"/>
                <w:b/>
                <w:bCs/>
                <w:color w:val="000080"/>
                <w:sz w:val="16"/>
                <w:szCs w:val="16"/>
                <w:lang w:val="es-ES"/>
              </w:rPr>
            </w:pPr>
            <w:r w:rsidRPr="009131EA">
              <w:rPr>
                <w:rFonts w:ascii="Verdana" w:hAnsi="Verdana" w:cs="Calibri"/>
                <w:b/>
                <w:bCs/>
                <w:color w:val="000080"/>
                <w:sz w:val="16"/>
                <w:szCs w:val="16"/>
                <w:lang w:val="es-ES"/>
              </w:rPr>
              <w:t xml:space="preserve">Bonificaciones </w:t>
            </w:r>
          </w:p>
        </w:tc>
        <w:tc>
          <w:tcPr>
            <w:tcW w:w="1539" w:type="dxa"/>
            <w:shd w:val="clear" w:color="000000" w:fill="B8CCE4"/>
            <w:vAlign w:val="center"/>
            <w:hideMark/>
          </w:tcPr>
          <w:p w:rsidR="009131EA" w:rsidRPr="009131EA" w:rsidRDefault="009131EA" w:rsidP="009131EA">
            <w:pPr>
              <w:rPr>
                <w:rFonts w:ascii="Verdana" w:hAnsi="Verdana" w:cs="Calibri"/>
                <w:b/>
                <w:bCs/>
                <w:color w:val="000080"/>
                <w:sz w:val="16"/>
                <w:szCs w:val="16"/>
                <w:lang w:val="es-ES"/>
              </w:rPr>
            </w:pPr>
            <w:r w:rsidRPr="009131EA">
              <w:rPr>
                <w:rFonts w:ascii="Verdana" w:hAnsi="Verdana" w:cs="Calibri"/>
                <w:b/>
                <w:bCs/>
                <w:color w:val="000080"/>
                <w:sz w:val="16"/>
                <w:szCs w:val="16"/>
                <w:lang w:val="es-ES"/>
              </w:rPr>
              <w:t xml:space="preserve">Bonificaciones </w:t>
            </w:r>
          </w:p>
        </w:tc>
      </w:tr>
      <w:tr w:rsidR="009131EA" w:rsidRPr="009131EA" w:rsidTr="000232D5">
        <w:trPr>
          <w:trHeight w:val="420"/>
        </w:trPr>
        <w:tc>
          <w:tcPr>
            <w:tcW w:w="2268" w:type="dxa"/>
            <w:vMerge/>
            <w:vAlign w:val="center"/>
            <w:hideMark/>
          </w:tcPr>
          <w:p w:rsidR="009131EA" w:rsidRPr="009131EA" w:rsidRDefault="009131EA" w:rsidP="009131EA">
            <w:pPr>
              <w:rPr>
                <w:rFonts w:ascii="Verdana" w:hAnsi="Verdana" w:cs="Calibri"/>
                <w:b/>
                <w:bCs/>
                <w:color w:val="000080"/>
                <w:sz w:val="16"/>
                <w:szCs w:val="16"/>
                <w:lang w:val="es-ES"/>
              </w:rPr>
            </w:pPr>
          </w:p>
        </w:tc>
        <w:tc>
          <w:tcPr>
            <w:tcW w:w="1134" w:type="dxa"/>
            <w:shd w:val="clear" w:color="000000" w:fill="B8CCE4"/>
            <w:vAlign w:val="center"/>
            <w:hideMark/>
          </w:tcPr>
          <w:p w:rsidR="009131EA" w:rsidRPr="009131EA" w:rsidRDefault="009131EA" w:rsidP="009131EA">
            <w:pPr>
              <w:jc w:val="center"/>
              <w:rPr>
                <w:rFonts w:ascii="Verdana" w:hAnsi="Verdana" w:cs="Calibri"/>
                <w:b/>
                <w:bCs/>
                <w:color w:val="1F497D"/>
                <w:sz w:val="16"/>
                <w:szCs w:val="16"/>
                <w:lang w:val="es-ES"/>
              </w:rPr>
            </w:pPr>
            <w:r w:rsidRPr="009131EA">
              <w:rPr>
                <w:rFonts w:ascii="Verdana" w:hAnsi="Verdana" w:cs="Calibri"/>
                <w:b/>
                <w:bCs/>
                <w:color w:val="1F497D"/>
                <w:sz w:val="16"/>
                <w:szCs w:val="16"/>
                <w:lang w:val="es-ES"/>
              </w:rPr>
              <w:t>Primer año</w:t>
            </w:r>
          </w:p>
        </w:tc>
        <w:tc>
          <w:tcPr>
            <w:tcW w:w="1438" w:type="dxa"/>
            <w:shd w:val="clear" w:color="000000" w:fill="B8CCE4"/>
            <w:vAlign w:val="center"/>
            <w:hideMark/>
          </w:tcPr>
          <w:p w:rsidR="009131EA" w:rsidRPr="009131EA" w:rsidRDefault="009131EA" w:rsidP="009131EA">
            <w:pPr>
              <w:jc w:val="center"/>
              <w:rPr>
                <w:rFonts w:ascii="Verdana" w:hAnsi="Verdana" w:cs="Calibri"/>
                <w:b/>
                <w:bCs/>
                <w:color w:val="1F497D"/>
                <w:sz w:val="16"/>
                <w:szCs w:val="16"/>
                <w:lang w:val="es-ES"/>
              </w:rPr>
            </w:pPr>
            <w:r w:rsidRPr="009131EA">
              <w:rPr>
                <w:rFonts w:ascii="Verdana" w:hAnsi="Verdana" w:cs="Calibri"/>
                <w:b/>
                <w:bCs/>
                <w:color w:val="1F497D"/>
                <w:sz w:val="16"/>
                <w:szCs w:val="16"/>
                <w:lang w:val="es-ES"/>
              </w:rPr>
              <w:t>Resto años</w:t>
            </w:r>
          </w:p>
        </w:tc>
        <w:tc>
          <w:tcPr>
            <w:tcW w:w="1539" w:type="dxa"/>
            <w:shd w:val="clear" w:color="000000" w:fill="B8CCE4"/>
            <w:vAlign w:val="center"/>
            <w:hideMark/>
          </w:tcPr>
          <w:p w:rsidR="009131EA" w:rsidRPr="009131EA" w:rsidRDefault="009131EA" w:rsidP="009131EA">
            <w:pPr>
              <w:jc w:val="center"/>
              <w:rPr>
                <w:rFonts w:ascii="Verdana" w:hAnsi="Verdana" w:cs="Calibri"/>
                <w:b/>
                <w:bCs/>
                <w:color w:val="1F497D"/>
                <w:sz w:val="16"/>
                <w:szCs w:val="16"/>
                <w:lang w:val="es-ES"/>
              </w:rPr>
            </w:pPr>
            <w:r w:rsidRPr="009131EA">
              <w:rPr>
                <w:rFonts w:ascii="Verdana" w:hAnsi="Verdana" w:cs="Calibri"/>
                <w:b/>
                <w:bCs/>
                <w:color w:val="1F497D"/>
                <w:sz w:val="16"/>
                <w:szCs w:val="16"/>
                <w:lang w:val="es-ES"/>
              </w:rPr>
              <w:t>Primer periodo (5, 10 ó15 años)</w:t>
            </w:r>
          </w:p>
        </w:tc>
        <w:tc>
          <w:tcPr>
            <w:tcW w:w="1296" w:type="dxa"/>
            <w:shd w:val="clear" w:color="000000" w:fill="B8CCE4"/>
            <w:vAlign w:val="center"/>
            <w:hideMark/>
          </w:tcPr>
          <w:p w:rsidR="009131EA" w:rsidRPr="009131EA" w:rsidRDefault="009131EA" w:rsidP="009131EA">
            <w:pPr>
              <w:jc w:val="center"/>
              <w:rPr>
                <w:rFonts w:ascii="Verdana" w:hAnsi="Verdana" w:cs="Calibri"/>
                <w:b/>
                <w:bCs/>
                <w:color w:val="1F497D"/>
                <w:sz w:val="16"/>
                <w:szCs w:val="16"/>
                <w:lang w:val="es-ES"/>
              </w:rPr>
            </w:pPr>
            <w:r w:rsidRPr="009131EA">
              <w:rPr>
                <w:rFonts w:ascii="Verdana" w:hAnsi="Verdana" w:cs="Calibri"/>
                <w:b/>
                <w:bCs/>
                <w:color w:val="1F497D"/>
                <w:sz w:val="16"/>
                <w:szCs w:val="16"/>
                <w:lang w:val="es-ES"/>
              </w:rPr>
              <w:t>Segundo periodo</w:t>
            </w:r>
          </w:p>
        </w:tc>
        <w:tc>
          <w:tcPr>
            <w:tcW w:w="1539" w:type="dxa"/>
            <w:shd w:val="clear" w:color="000000" w:fill="B8CCE4"/>
            <w:vAlign w:val="center"/>
            <w:hideMark/>
          </w:tcPr>
          <w:p w:rsidR="009131EA" w:rsidRPr="009131EA" w:rsidRDefault="009131EA" w:rsidP="009131EA">
            <w:pPr>
              <w:jc w:val="center"/>
              <w:rPr>
                <w:rFonts w:ascii="Verdana" w:hAnsi="Verdana" w:cs="Calibri"/>
                <w:b/>
                <w:bCs/>
                <w:color w:val="1F497D"/>
                <w:sz w:val="16"/>
                <w:szCs w:val="16"/>
                <w:lang w:val="es-ES"/>
              </w:rPr>
            </w:pPr>
            <w:r w:rsidRPr="009131EA">
              <w:rPr>
                <w:rFonts w:ascii="Verdana" w:hAnsi="Verdana" w:cs="Calibri"/>
                <w:b/>
                <w:bCs/>
                <w:color w:val="1F497D"/>
                <w:sz w:val="16"/>
                <w:szCs w:val="16"/>
                <w:lang w:val="es-ES"/>
              </w:rPr>
              <w:t>Todos los años</w:t>
            </w:r>
          </w:p>
        </w:tc>
      </w:tr>
      <w:tr w:rsidR="009131EA" w:rsidRPr="009131EA" w:rsidTr="000232D5">
        <w:trPr>
          <w:trHeight w:val="2064"/>
        </w:trPr>
        <w:tc>
          <w:tcPr>
            <w:tcW w:w="2268" w:type="dxa"/>
            <w:shd w:val="clear" w:color="auto" w:fill="auto"/>
            <w:vAlign w:val="center"/>
            <w:hideMark/>
          </w:tcPr>
          <w:p w:rsidR="009131EA" w:rsidRPr="009131EA" w:rsidRDefault="009131EA" w:rsidP="009131EA">
            <w:pPr>
              <w:rPr>
                <w:rFonts w:ascii="Verdana" w:hAnsi="Verdana" w:cs="Calibri"/>
                <w:color w:val="1F497D"/>
                <w:sz w:val="16"/>
                <w:szCs w:val="16"/>
                <w:lang w:val="es-ES"/>
              </w:rPr>
            </w:pPr>
            <w:r w:rsidRPr="009131EA">
              <w:rPr>
                <w:rFonts w:ascii="Verdana" w:hAnsi="Verdana" w:cs="Calibri"/>
                <w:color w:val="1F497D"/>
                <w:sz w:val="16"/>
                <w:szCs w:val="16"/>
                <w:lang w:val="es-ES"/>
              </w:rPr>
              <w:t>Domiciliación de la nómina o pensión o ingresos de la actividad profesional o empresarial 1 (durante la vigencia del préstamo)</w:t>
            </w:r>
            <w:r w:rsidRPr="009131EA">
              <w:rPr>
                <w:rFonts w:ascii="Verdana" w:hAnsi="Verdana" w:cs="Calibri"/>
                <w:color w:val="1F497D"/>
                <w:sz w:val="16"/>
                <w:szCs w:val="16"/>
                <w:lang w:val="es-ES"/>
              </w:rPr>
              <w:br/>
            </w:r>
            <w:r w:rsidRPr="009131EA">
              <w:rPr>
                <w:rFonts w:ascii="Verdana" w:hAnsi="Verdana" w:cs="Calibri"/>
                <w:color w:val="1F497D"/>
                <w:sz w:val="16"/>
                <w:szCs w:val="16"/>
                <w:lang w:val="es-ES"/>
              </w:rPr>
              <w:br/>
              <w:t>+ Recibos básicos domiciliados (3 como mínimo)</w:t>
            </w:r>
            <w:r w:rsidRPr="009131EA">
              <w:rPr>
                <w:rFonts w:ascii="Verdana" w:hAnsi="Verdana" w:cs="Calibri"/>
                <w:color w:val="1F497D"/>
                <w:sz w:val="16"/>
                <w:szCs w:val="16"/>
                <w:lang w:val="es-ES"/>
              </w:rPr>
              <w:br/>
            </w:r>
            <w:r w:rsidRPr="009131EA">
              <w:rPr>
                <w:rFonts w:ascii="Verdana" w:hAnsi="Verdana" w:cs="Calibri"/>
                <w:color w:val="1F497D"/>
                <w:sz w:val="16"/>
                <w:szCs w:val="16"/>
                <w:lang w:val="es-ES"/>
              </w:rPr>
              <w:br/>
              <w:t>+ Tarjeta de crédito activa</w:t>
            </w:r>
          </w:p>
        </w:tc>
        <w:tc>
          <w:tcPr>
            <w:tcW w:w="1134"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w:t>
            </w:r>
          </w:p>
        </w:tc>
        <w:tc>
          <w:tcPr>
            <w:tcW w:w="1438"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c>
          <w:tcPr>
            <w:tcW w:w="1539"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c>
          <w:tcPr>
            <w:tcW w:w="1296"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c>
          <w:tcPr>
            <w:tcW w:w="1539"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r>
      <w:tr w:rsidR="009131EA" w:rsidRPr="009131EA" w:rsidTr="000232D5">
        <w:trPr>
          <w:trHeight w:val="1248"/>
        </w:trPr>
        <w:tc>
          <w:tcPr>
            <w:tcW w:w="2268" w:type="dxa"/>
            <w:shd w:val="clear" w:color="auto" w:fill="auto"/>
            <w:vAlign w:val="center"/>
            <w:hideMark/>
          </w:tcPr>
          <w:p w:rsidR="009131EA" w:rsidRPr="009131EA" w:rsidRDefault="009131EA" w:rsidP="009131EA">
            <w:pPr>
              <w:rPr>
                <w:rFonts w:ascii="Verdana" w:hAnsi="Verdana" w:cs="Calibri"/>
                <w:color w:val="1F497D"/>
                <w:sz w:val="16"/>
                <w:szCs w:val="16"/>
                <w:lang w:val="es-ES"/>
              </w:rPr>
            </w:pPr>
            <w:r w:rsidRPr="009131EA">
              <w:rPr>
                <w:rFonts w:ascii="Verdana" w:hAnsi="Verdana" w:cs="Calibri"/>
                <w:color w:val="1F497D"/>
                <w:sz w:val="16"/>
                <w:szCs w:val="16"/>
                <w:lang w:val="es-ES"/>
              </w:rPr>
              <w:t>Seguro de Protección de Pagos*</w:t>
            </w:r>
            <w:r w:rsidRPr="009131EA">
              <w:rPr>
                <w:rFonts w:ascii="Verdana" w:hAnsi="Verdana" w:cs="Calibri"/>
                <w:color w:val="1F497D"/>
                <w:sz w:val="16"/>
                <w:szCs w:val="16"/>
                <w:lang w:val="es-ES"/>
              </w:rPr>
              <w:br/>
            </w:r>
            <w:r w:rsidRPr="009131EA">
              <w:rPr>
                <w:rFonts w:ascii="Verdana" w:hAnsi="Verdana" w:cs="Calibri"/>
                <w:color w:val="1F497D"/>
                <w:sz w:val="16"/>
                <w:szCs w:val="16"/>
                <w:lang w:val="es-ES"/>
              </w:rPr>
              <w:br/>
            </w:r>
            <w:r w:rsidRPr="009131EA">
              <w:rPr>
                <w:rFonts w:ascii="Verdana" w:hAnsi="Verdana" w:cs="Calibri"/>
                <w:sz w:val="16"/>
                <w:szCs w:val="16"/>
                <w:lang w:val="es-ES"/>
              </w:rPr>
              <w:t>(Contratación con la formalización de la presente hipoteca, producto con prima única y con una vigencia de 5 años).</w:t>
            </w:r>
          </w:p>
        </w:tc>
        <w:tc>
          <w:tcPr>
            <w:tcW w:w="1134"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-0,50</w:t>
            </w:r>
          </w:p>
        </w:tc>
        <w:tc>
          <w:tcPr>
            <w:tcW w:w="1438"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-0,10</w:t>
            </w:r>
          </w:p>
        </w:tc>
        <w:tc>
          <w:tcPr>
            <w:tcW w:w="1539"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c>
          <w:tcPr>
            <w:tcW w:w="1296"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c>
          <w:tcPr>
            <w:tcW w:w="1539"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r>
      <w:tr w:rsidR="009131EA" w:rsidRPr="009131EA" w:rsidTr="000232D5">
        <w:trPr>
          <w:trHeight w:val="744"/>
        </w:trPr>
        <w:tc>
          <w:tcPr>
            <w:tcW w:w="2268" w:type="dxa"/>
            <w:shd w:val="clear" w:color="auto" w:fill="auto"/>
            <w:vAlign w:val="center"/>
            <w:hideMark/>
          </w:tcPr>
          <w:p w:rsidR="009131EA" w:rsidRPr="009131EA" w:rsidRDefault="009131EA" w:rsidP="00C90EE5">
            <w:pPr>
              <w:rPr>
                <w:rFonts w:ascii="Verdana" w:hAnsi="Verdana" w:cs="Calibri"/>
                <w:color w:val="1F497D"/>
                <w:sz w:val="16"/>
                <w:szCs w:val="16"/>
                <w:lang w:val="es-ES"/>
              </w:rPr>
            </w:pPr>
            <w:r w:rsidRPr="009131EA">
              <w:rPr>
                <w:rFonts w:ascii="Verdana" w:hAnsi="Verdana" w:cs="Calibri"/>
                <w:color w:val="1F497D"/>
                <w:sz w:val="16"/>
                <w:szCs w:val="16"/>
                <w:lang w:val="es-ES"/>
              </w:rPr>
              <w:t xml:space="preserve">Seguro de vida (10 años)* </w:t>
            </w:r>
            <w:r w:rsidRPr="009131EA">
              <w:rPr>
                <w:rFonts w:ascii="Verdana" w:hAnsi="Verdana" w:cs="Calibri"/>
                <w:b/>
                <w:bCs/>
                <w:color w:val="1F497D"/>
                <w:sz w:val="16"/>
                <w:szCs w:val="16"/>
                <w:vertAlign w:val="superscript"/>
                <w:lang w:val="es-ES"/>
              </w:rPr>
              <w:t>2</w:t>
            </w:r>
            <w:r w:rsidRPr="009131EA">
              <w:rPr>
                <w:rFonts w:ascii="Verdana" w:hAnsi="Verdana" w:cs="Calibri"/>
                <w:b/>
                <w:bCs/>
                <w:color w:val="1F497D"/>
                <w:sz w:val="16"/>
                <w:szCs w:val="16"/>
                <w:vertAlign w:val="superscript"/>
                <w:lang w:val="es-ES"/>
              </w:rPr>
              <w:br/>
            </w:r>
            <w:r w:rsidRPr="00C90EE5">
              <w:rPr>
                <w:rFonts w:ascii="Verdana" w:hAnsi="Verdana" w:cs="Calibri"/>
                <w:b/>
                <w:color w:val="1F497D"/>
                <w:sz w:val="16"/>
                <w:szCs w:val="16"/>
                <w:lang w:val="es-ES"/>
              </w:rPr>
              <w:t>+</w:t>
            </w:r>
            <w:r w:rsidRPr="009131EA">
              <w:rPr>
                <w:rFonts w:ascii="Verdana" w:hAnsi="Verdana" w:cs="Calibri"/>
                <w:color w:val="1F497D"/>
                <w:sz w:val="16"/>
                <w:szCs w:val="16"/>
                <w:lang w:val="es-ES"/>
              </w:rPr>
              <w:t xml:space="preserve"> Seguro de hogar* </w:t>
            </w:r>
            <w:r w:rsidR="00C90EE5">
              <w:rPr>
                <w:rFonts w:ascii="Verdana" w:hAnsi="Verdana" w:cs="Calibri"/>
                <w:b/>
                <w:bCs/>
                <w:color w:val="1F497D"/>
                <w:sz w:val="16"/>
                <w:szCs w:val="16"/>
                <w:vertAlign w:val="superscript"/>
                <w:lang w:val="es-ES"/>
              </w:rPr>
              <w:t>3</w:t>
            </w:r>
          </w:p>
        </w:tc>
        <w:tc>
          <w:tcPr>
            <w:tcW w:w="1134"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w:t>
            </w:r>
          </w:p>
        </w:tc>
        <w:tc>
          <w:tcPr>
            <w:tcW w:w="1438"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-0,41</w:t>
            </w:r>
          </w:p>
        </w:tc>
        <w:tc>
          <w:tcPr>
            <w:tcW w:w="1539"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w:t>
            </w:r>
          </w:p>
        </w:tc>
        <w:tc>
          <w:tcPr>
            <w:tcW w:w="1296"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w:t>
            </w:r>
          </w:p>
        </w:tc>
        <w:tc>
          <w:tcPr>
            <w:tcW w:w="1539"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w:t>
            </w:r>
          </w:p>
        </w:tc>
      </w:tr>
      <w:tr w:rsidR="009131EA" w:rsidRPr="009131EA" w:rsidTr="000232D5">
        <w:trPr>
          <w:trHeight w:val="672"/>
        </w:trPr>
        <w:tc>
          <w:tcPr>
            <w:tcW w:w="2268" w:type="dxa"/>
            <w:shd w:val="clear" w:color="auto" w:fill="auto"/>
            <w:vAlign w:val="center"/>
            <w:hideMark/>
          </w:tcPr>
          <w:p w:rsidR="009131EA" w:rsidRPr="009131EA" w:rsidRDefault="009131EA" w:rsidP="00C90EE5">
            <w:pPr>
              <w:rPr>
                <w:rFonts w:ascii="Verdana" w:hAnsi="Verdana" w:cs="Calibri"/>
                <w:color w:val="1F497D"/>
                <w:sz w:val="16"/>
                <w:szCs w:val="16"/>
                <w:lang w:val="es-ES"/>
              </w:rPr>
            </w:pPr>
            <w:r w:rsidRPr="009131EA">
              <w:rPr>
                <w:rFonts w:ascii="Verdana" w:hAnsi="Verdana" w:cs="Calibri"/>
                <w:color w:val="1F497D"/>
                <w:sz w:val="16"/>
                <w:szCs w:val="16"/>
                <w:lang w:val="es-ES"/>
              </w:rPr>
              <w:t>Seguro de vida*</w:t>
            </w:r>
            <w:r w:rsidR="00C90EE5">
              <w:rPr>
                <w:rFonts w:ascii="Verdana" w:hAnsi="Verdana" w:cs="Calibri"/>
                <w:b/>
                <w:bCs/>
                <w:color w:val="1F497D"/>
                <w:sz w:val="16"/>
                <w:szCs w:val="16"/>
                <w:vertAlign w:val="superscript"/>
                <w:lang w:val="es-ES"/>
              </w:rPr>
              <w:t>2</w:t>
            </w:r>
            <w:r w:rsidRPr="009131EA">
              <w:rPr>
                <w:rFonts w:ascii="Verdana" w:hAnsi="Verdana" w:cs="Calibri"/>
                <w:b/>
                <w:bCs/>
                <w:color w:val="1F497D"/>
                <w:sz w:val="16"/>
                <w:szCs w:val="16"/>
                <w:vertAlign w:val="superscript"/>
                <w:lang w:val="es-ES"/>
              </w:rPr>
              <w:t xml:space="preserve"> </w:t>
            </w:r>
            <w:r w:rsidRPr="009131EA">
              <w:rPr>
                <w:rFonts w:ascii="Verdana" w:hAnsi="Verdana" w:cs="Calibri"/>
                <w:color w:val="1F497D"/>
                <w:sz w:val="16"/>
                <w:szCs w:val="16"/>
                <w:lang w:val="es-ES"/>
              </w:rPr>
              <w:t xml:space="preserve">(durante la vigencia del préstamo)* </w:t>
            </w:r>
          </w:p>
        </w:tc>
        <w:tc>
          <w:tcPr>
            <w:tcW w:w="1134"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w:t>
            </w:r>
          </w:p>
        </w:tc>
        <w:tc>
          <w:tcPr>
            <w:tcW w:w="1438"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w:t>
            </w:r>
          </w:p>
        </w:tc>
        <w:tc>
          <w:tcPr>
            <w:tcW w:w="1539"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c>
          <w:tcPr>
            <w:tcW w:w="1296"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c>
          <w:tcPr>
            <w:tcW w:w="1539" w:type="dxa"/>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r>
      <w:tr w:rsidR="009131EA" w:rsidRPr="009131EA" w:rsidTr="000232D5">
        <w:trPr>
          <w:trHeight w:val="480"/>
        </w:trPr>
        <w:tc>
          <w:tcPr>
            <w:tcW w:w="2268" w:type="dxa"/>
            <w:tcBorders>
              <w:bottom w:val="single" w:sz="8" w:space="0" w:color="FFFFFF" w:themeColor="background1"/>
            </w:tcBorders>
            <w:shd w:val="clear" w:color="auto" w:fill="auto"/>
            <w:vAlign w:val="center"/>
            <w:hideMark/>
          </w:tcPr>
          <w:p w:rsidR="009131EA" w:rsidRPr="009131EA" w:rsidRDefault="009131EA" w:rsidP="00C90EE5">
            <w:pPr>
              <w:rPr>
                <w:rFonts w:ascii="Verdana" w:hAnsi="Verdana" w:cs="Calibri"/>
                <w:color w:val="1F497D"/>
                <w:sz w:val="16"/>
                <w:szCs w:val="16"/>
                <w:lang w:val="es-ES"/>
              </w:rPr>
            </w:pPr>
            <w:r w:rsidRPr="009131EA">
              <w:rPr>
                <w:rFonts w:ascii="Verdana" w:hAnsi="Verdana" w:cs="Calibri"/>
                <w:color w:val="1F497D"/>
                <w:sz w:val="16"/>
                <w:szCs w:val="16"/>
                <w:lang w:val="es-ES"/>
              </w:rPr>
              <w:t xml:space="preserve">Seguro de hogar* </w:t>
            </w:r>
            <w:r w:rsidR="00C90EE5">
              <w:rPr>
                <w:rFonts w:ascii="Verdana" w:hAnsi="Verdana" w:cs="Calibri"/>
                <w:b/>
                <w:bCs/>
                <w:color w:val="1F497D"/>
                <w:sz w:val="16"/>
                <w:szCs w:val="16"/>
                <w:vertAlign w:val="superscript"/>
                <w:lang w:val="es-ES"/>
              </w:rPr>
              <w:t>3</w:t>
            </w:r>
          </w:p>
        </w:tc>
        <w:tc>
          <w:tcPr>
            <w:tcW w:w="1134" w:type="dxa"/>
            <w:tcBorders>
              <w:bottom w:val="single" w:sz="8" w:space="0" w:color="FFFFFF" w:themeColor="background1"/>
            </w:tcBorders>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w:t>
            </w:r>
          </w:p>
        </w:tc>
        <w:tc>
          <w:tcPr>
            <w:tcW w:w="1438" w:type="dxa"/>
            <w:tcBorders>
              <w:bottom w:val="single" w:sz="8" w:space="0" w:color="FFFFFF" w:themeColor="background1"/>
            </w:tcBorders>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w:t>
            </w:r>
          </w:p>
        </w:tc>
        <w:tc>
          <w:tcPr>
            <w:tcW w:w="1539" w:type="dxa"/>
            <w:tcBorders>
              <w:bottom w:val="single" w:sz="8" w:space="0" w:color="FFFFFF" w:themeColor="background1"/>
            </w:tcBorders>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c>
          <w:tcPr>
            <w:tcW w:w="1296" w:type="dxa"/>
            <w:tcBorders>
              <w:bottom w:val="single" w:sz="8" w:space="0" w:color="FFFFFF" w:themeColor="background1"/>
            </w:tcBorders>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c>
          <w:tcPr>
            <w:tcW w:w="1539" w:type="dxa"/>
            <w:tcBorders>
              <w:bottom w:val="single" w:sz="8" w:space="0" w:color="FFFFFF" w:themeColor="background1"/>
            </w:tcBorders>
            <w:shd w:val="clear" w:color="auto" w:fill="auto"/>
            <w:vAlign w:val="center"/>
            <w:hideMark/>
          </w:tcPr>
          <w:p w:rsidR="009131EA" w:rsidRPr="009131EA" w:rsidRDefault="009131EA" w:rsidP="009131EA">
            <w:pPr>
              <w:jc w:val="center"/>
              <w:rPr>
                <w:rFonts w:ascii="Verdana" w:hAnsi="Verdana" w:cs="Calibri"/>
                <w:b/>
                <w:bCs/>
                <w:color w:val="000000"/>
                <w:sz w:val="16"/>
                <w:szCs w:val="16"/>
                <w:lang w:val="es-ES"/>
              </w:rPr>
            </w:pPr>
            <w:r w:rsidRPr="009131EA">
              <w:rPr>
                <w:rFonts w:ascii="Verdana" w:hAnsi="Verdana" w:cs="Calibri"/>
                <w:b/>
                <w:bCs/>
                <w:color w:val="000000"/>
                <w:sz w:val="16"/>
                <w:szCs w:val="16"/>
                <w:lang w:val="es-ES"/>
              </w:rPr>
              <w:t>-0,25</w:t>
            </w:r>
          </w:p>
        </w:tc>
      </w:tr>
      <w:tr w:rsidR="009131EA" w:rsidRPr="009131EA" w:rsidTr="000232D5">
        <w:trPr>
          <w:trHeight w:val="330"/>
        </w:trPr>
        <w:tc>
          <w:tcPr>
            <w:tcW w:w="2268" w:type="dxa"/>
            <w:tcBorders>
              <w:top w:val="single" w:sz="8" w:space="0" w:color="FFFFFF" w:themeColor="background1"/>
              <w:left w:val="single" w:sz="8" w:space="0" w:color="FFFFFF" w:themeColor="background1"/>
              <w:bottom w:val="nil"/>
              <w:right w:val="single" w:sz="8" w:space="0" w:color="FFFFFF" w:themeColor="background1"/>
            </w:tcBorders>
            <w:shd w:val="clear" w:color="000000" w:fill="1F497D"/>
            <w:vAlign w:val="center"/>
            <w:hideMark/>
          </w:tcPr>
          <w:p w:rsidR="009131EA" w:rsidRPr="009131EA" w:rsidRDefault="009131EA" w:rsidP="009131EA">
            <w:pPr>
              <w:rPr>
                <w:rFonts w:ascii="Verdana" w:hAnsi="Verdana" w:cs="Calibri"/>
                <w:b/>
                <w:bCs/>
                <w:color w:val="FFFFFF"/>
                <w:sz w:val="16"/>
                <w:szCs w:val="16"/>
                <w:lang w:val="es-ES"/>
              </w:rPr>
            </w:pPr>
            <w:r w:rsidRPr="009131EA">
              <w:rPr>
                <w:rFonts w:ascii="Verdana" w:hAnsi="Verdana" w:cs="Calibri"/>
                <w:b/>
                <w:bCs/>
                <w:color w:val="FFFFFF"/>
                <w:sz w:val="16"/>
                <w:szCs w:val="16"/>
                <w:lang w:val="es-ES"/>
              </w:rPr>
              <w:t>Total Bonificaciones</w:t>
            </w:r>
          </w:p>
        </w:tc>
        <w:tc>
          <w:tcPr>
            <w:tcW w:w="1134" w:type="dxa"/>
            <w:tcBorders>
              <w:top w:val="single" w:sz="8" w:space="0" w:color="FFFFFF" w:themeColor="background1"/>
              <w:left w:val="single" w:sz="8" w:space="0" w:color="FFFFFF" w:themeColor="background1"/>
              <w:bottom w:val="nil"/>
              <w:right w:val="single" w:sz="8" w:space="0" w:color="FFFFFF" w:themeColor="background1"/>
            </w:tcBorders>
            <w:shd w:val="clear" w:color="000000" w:fill="1F497D"/>
            <w:vAlign w:val="center"/>
            <w:hideMark/>
          </w:tcPr>
          <w:p w:rsidR="009131EA" w:rsidRPr="009131EA" w:rsidRDefault="009131EA" w:rsidP="009131EA">
            <w:pPr>
              <w:jc w:val="center"/>
              <w:rPr>
                <w:rFonts w:ascii="Verdana" w:hAnsi="Verdana" w:cs="Calibri"/>
                <w:b/>
                <w:bCs/>
                <w:color w:val="FFFFFF"/>
                <w:sz w:val="16"/>
                <w:szCs w:val="16"/>
                <w:lang w:val="es-ES"/>
              </w:rPr>
            </w:pPr>
            <w:r w:rsidRPr="009131EA">
              <w:rPr>
                <w:rFonts w:ascii="Verdana" w:hAnsi="Verdana" w:cs="Calibri"/>
                <w:b/>
                <w:bCs/>
                <w:color w:val="FFFFFF"/>
                <w:sz w:val="16"/>
                <w:szCs w:val="16"/>
                <w:lang w:val="es-ES"/>
              </w:rPr>
              <w:t>-0,50</w:t>
            </w:r>
          </w:p>
        </w:tc>
        <w:tc>
          <w:tcPr>
            <w:tcW w:w="1438" w:type="dxa"/>
            <w:tcBorders>
              <w:top w:val="single" w:sz="8" w:space="0" w:color="FFFFFF" w:themeColor="background1"/>
              <w:left w:val="single" w:sz="8" w:space="0" w:color="FFFFFF" w:themeColor="background1"/>
              <w:bottom w:val="nil"/>
              <w:right w:val="single" w:sz="8" w:space="0" w:color="FFFFFF" w:themeColor="background1"/>
            </w:tcBorders>
            <w:shd w:val="clear" w:color="000000" w:fill="1F497D"/>
            <w:vAlign w:val="center"/>
            <w:hideMark/>
          </w:tcPr>
          <w:p w:rsidR="009131EA" w:rsidRPr="009131EA" w:rsidRDefault="009131EA" w:rsidP="009131EA">
            <w:pPr>
              <w:jc w:val="center"/>
              <w:rPr>
                <w:rFonts w:ascii="Verdana" w:hAnsi="Verdana" w:cs="Calibri"/>
                <w:b/>
                <w:bCs/>
                <w:color w:val="FFFFFF"/>
                <w:sz w:val="16"/>
                <w:szCs w:val="16"/>
                <w:lang w:val="es-ES"/>
              </w:rPr>
            </w:pPr>
            <w:r w:rsidRPr="009131EA">
              <w:rPr>
                <w:rFonts w:ascii="Verdana" w:hAnsi="Verdana" w:cs="Calibri"/>
                <w:b/>
                <w:bCs/>
                <w:color w:val="FFFFFF"/>
                <w:sz w:val="16"/>
                <w:szCs w:val="16"/>
                <w:lang w:val="es-ES"/>
              </w:rPr>
              <w:t>-0,76</w:t>
            </w:r>
          </w:p>
        </w:tc>
        <w:tc>
          <w:tcPr>
            <w:tcW w:w="1539" w:type="dxa"/>
            <w:tcBorders>
              <w:top w:val="single" w:sz="8" w:space="0" w:color="FFFFFF" w:themeColor="background1"/>
              <w:left w:val="single" w:sz="8" w:space="0" w:color="FFFFFF" w:themeColor="background1"/>
              <w:bottom w:val="nil"/>
              <w:right w:val="single" w:sz="8" w:space="0" w:color="FFFFFF" w:themeColor="background1"/>
            </w:tcBorders>
            <w:shd w:val="clear" w:color="000000" w:fill="1F497D"/>
            <w:vAlign w:val="center"/>
            <w:hideMark/>
          </w:tcPr>
          <w:p w:rsidR="009131EA" w:rsidRPr="009131EA" w:rsidRDefault="009131EA" w:rsidP="009131EA">
            <w:pPr>
              <w:jc w:val="center"/>
              <w:rPr>
                <w:rFonts w:ascii="Verdana" w:hAnsi="Verdana" w:cs="Calibri"/>
                <w:b/>
                <w:bCs/>
                <w:color w:val="FFFFFF"/>
                <w:sz w:val="16"/>
                <w:szCs w:val="16"/>
                <w:lang w:val="es-ES"/>
              </w:rPr>
            </w:pPr>
            <w:r w:rsidRPr="009131EA">
              <w:rPr>
                <w:rFonts w:ascii="Verdana" w:hAnsi="Verdana" w:cs="Calibri"/>
                <w:b/>
                <w:bCs/>
                <w:color w:val="FFFFFF"/>
                <w:sz w:val="16"/>
                <w:szCs w:val="16"/>
                <w:lang w:val="es-ES"/>
              </w:rPr>
              <w:t>-1,00</w:t>
            </w:r>
          </w:p>
        </w:tc>
        <w:tc>
          <w:tcPr>
            <w:tcW w:w="1296" w:type="dxa"/>
            <w:tcBorders>
              <w:top w:val="single" w:sz="8" w:space="0" w:color="FFFFFF" w:themeColor="background1"/>
              <w:left w:val="single" w:sz="8" w:space="0" w:color="FFFFFF" w:themeColor="background1"/>
              <w:bottom w:val="nil"/>
              <w:right w:val="single" w:sz="8" w:space="0" w:color="FFFFFF" w:themeColor="background1"/>
            </w:tcBorders>
            <w:shd w:val="clear" w:color="000000" w:fill="1F497D"/>
            <w:vAlign w:val="center"/>
            <w:hideMark/>
          </w:tcPr>
          <w:p w:rsidR="009131EA" w:rsidRPr="009131EA" w:rsidRDefault="009131EA" w:rsidP="009131EA">
            <w:pPr>
              <w:jc w:val="center"/>
              <w:rPr>
                <w:rFonts w:ascii="Verdana" w:hAnsi="Verdana" w:cs="Calibri"/>
                <w:b/>
                <w:bCs/>
                <w:color w:val="FFFFFF"/>
                <w:sz w:val="16"/>
                <w:szCs w:val="16"/>
                <w:lang w:val="es-ES"/>
              </w:rPr>
            </w:pPr>
            <w:r w:rsidRPr="009131EA">
              <w:rPr>
                <w:rFonts w:ascii="Verdana" w:hAnsi="Verdana" w:cs="Calibri"/>
                <w:b/>
                <w:bCs/>
                <w:color w:val="FFFFFF"/>
                <w:sz w:val="16"/>
                <w:szCs w:val="16"/>
                <w:lang w:val="es-ES"/>
              </w:rPr>
              <w:t>-1,00</w:t>
            </w:r>
          </w:p>
        </w:tc>
        <w:tc>
          <w:tcPr>
            <w:tcW w:w="1539" w:type="dxa"/>
            <w:tcBorders>
              <w:top w:val="single" w:sz="8" w:space="0" w:color="FFFFFF" w:themeColor="background1"/>
              <w:left w:val="single" w:sz="8" w:space="0" w:color="FFFFFF" w:themeColor="background1"/>
              <w:bottom w:val="nil"/>
              <w:right w:val="single" w:sz="8" w:space="0" w:color="FFFFFF" w:themeColor="background1"/>
            </w:tcBorders>
            <w:shd w:val="clear" w:color="000000" w:fill="1F497D"/>
            <w:vAlign w:val="center"/>
            <w:hideMark/>
          </w:tcPr>
          <w:p w:rsidR="009131EA" w:rsidRPr="009131EA" w:rsidRDefault="009131EA" w:rsidP="009131EA">
            <w:pPr>
              <w:jc w:val="center"/>
              <w:rPr>
                <w:rFonts w:ascii="Verdana" w:hAnsi="Verdana" w:cs="Calibri"/>
                <w:b/>
                <w:bCs/>
                <w:color w:val="FFFFFF"/>
                <w:sz w:val="16"/>
                <w:szCs w:val="16"/>
                <w:lang w:val="es-ES"/>
              </w:rPr>
            </w:pPr>
            <w:r w:rsidRPr="009131EA">
              <w:rPr>
                <w:rFonts w:ascii="Verdana" w:hAnsi="Verdana" w:cs="Calibri"/>
                <w:b/>
                <w:bCs/>
                <w:color w:val="FFFFFF"/>
                <w:sz w:val="16"/>
                <w:szCs w:val="16"/>
                <w:lang w:val="es-ES"/>
              </w:rPr>
              <w:t>-1,00</w:t>
            </w:r>
          </w:p>
        </w:tc>
      </w:tr>
    </w:tbl>
    <w:p w:rsidR="00434814" w:rsidRDefault="00434814" w:rsidP="008760B6">
      <w:pPr>
        <w:ind w:left="851" w:right="-55"/>
        <w:jc w:val="both"/>
        <w:rPr>
          <w:rFonts w:ascii="Verdana" w:hAnsi="Verdana"/>
        </w:rPr>
      </w:pPr>
    </w:p>
    <w:p w:rsidR="00434814" w:rsidRDefault="00434814" w:rsidP="008760B6">
      <w:pPr>
        <w:ind w:left="708" w:right="-55"/>
        <w:jc w:val="both"/>
        <w:rPr>
          <w:rFonts w:ascii="Verdana" w:hAnsi="Verdana"/>
        </w:rPr>
      </w:pPr>
    </w:p>
    <w:p w:rsidR="00434814" w:rsidRDefault="00434814" w:rsidP="008760B6">
      <w:pPr>
        <w:ind w:left="708" w:right="-55"/>
        <w:jc w:val="both"/>
        <w:rPr>
          <w:rFonts w:ascii="Verdana" w:hAnsi="Verdana"/>
        </w:rPr>
      </w:pPr>
      <w:r>
        <w:rPr>
          <w:rFonts w:ascii="Verdana" w:hAnsi="Verdana"/>
        </w:rPr>
        <w:t xml:space="preserve">* Todo ello a través de la distribución comercial de cualquier </w:t>
      </w:r>
      <w:r w:rsidR="00214B3E" w:rsidRPr="00214B3E">
        <w:rPr>
          <w:rFonts w:ascii="Verdana" w:hAnsi="Verdana"/>
        </w:rPr>
        <w:t>Compañía mediadora -aseguradora: Vida-Riesgo contratado con Caja Ingenieros Vida, Compañía de Seguros y Reaseguros, SAU, con la intermediación de Caja Ingenieros, Operador de Bancaseguros Vinculado, SLU, inscrito en el registro de mediadores de la DGSPF con el código OV0052. Puede consultar las compañías con las que Caja de Ingenieros, Operador de Bancaseguros Vinculado, tiene contrato de agencia en www.caja-ingenieros.es</w:t>
      </w:r>
      <w:r>
        <w:rPr>
          <w:rFonts w:ascii="Verdana" w:hAnsi="Verdana"/>
        </w:rPr>
        <w:t>, y cuyas primas sean abonadas mediante domiciliación en cuenta corriente de Caja de Ingenieros.</w:t>
      </w:r>
      <w:r w:rsidR="00214B3E" w:rsidRPr="00214B3E">
        <w:t xml:space="preserve"> </w:t>
      </w:r>
    </w:p>
    <w:p w:rsidR="00434814" w:rsidRDefault="00434814" w:rsidP="008760B6">
      <w:pPr>
        <w:ind w:left="708" w:right="-55"/>
        <w:jc w:val="both"/>
        <w:rPr>
          <w:rFonts w:ascii="Verdana" w:hAnsi="Verdana"/>
        </w:rPr>
      </w:pPr>
    </w:p>
    <w:p w:rsidR="00434814" w:rsidRDefault="00434814" w:rsidP="008760B6">
      <w:pPr>
        <w:ind w:left="708" w:right="-55"/>
        <w:jc w:val="both"/>
        <w:rPr>
          <w:rFonts w:ascii="Verdana" w:hAnsi="Verdana"/>
        </w:rPr>
      </w:pPr>
      <w:r>
        <w:rPr>
          <w:rFonts w:ascii="Verdana" w:hAnsi="Verdana"/>
        </w:rPr>
        <w:t xml:space="preserve">La suscripción de la hipoteca, en ningún caso supone una obligación de la propia Caja de Ingenieros o de cualquiera de las empresas que forman parte de su Grupo a acceder a contratar con la parte prestataria los  seguros de vida, protección de pagos y hogar antes descritos. </w:t>
      </w:r>
    </w:p>
    <w:p w:rsidR="00434814" w:rsidRDefault="00434814" w:rsidP="008760B6">
      <w:pPr>
        <w:ind w:left="708" w:right="-55"/>
        <w:jc w:val="both"/>
        <w:rPr>
          <w:rFonts w:ascii="Verdana" w:hAnsi="Verdana"/>
        </w:rPr>
      </w:pPr>
    </w:p>
    <w:p w:rsidR="00434814" w:rsidRDefault="00434814" w:rsidP="008760B6">
      <w:pPr>
        <w:ind w:left="708" w:right="-55"/>
        <w:jc w:val="both"/>
        <w:rPr>
          <w:rFonts w:ascii="Verdana" w:hAnsi="Verdana"/>
        </w:rPr>
      </w:pPr>
      <w:r>
        <w:rPr>
          <w:rFonts w:ascii="Verdana" w:hAnsi="Verdana"/>
        </w:rPr>
        <w:t xml:space="preserve">La contratación de los seguros y la domiciliación de ingresos SON VOLUNTARIAS PARA LA OBTENCIÓN DE CONDICIONES MÁS BENEFICIOSAS. </w:t>
      </w:r>
    </w:p>
    <w:p w:rsidR="00434814" w:rsidRDefault="00434814" w:rsidP="008760B6">
      <w:pPr>
        <w:ind w:left="708" w:right="-55"/>
        <w:jc w:val="both"/>
        <w:rPr>
          <w:rFonts w:ascii="Verdana" w:hAnsi="Verdana"/>
        </w:rPr>
      </w:pPr>
    </w:p>
    <w:p w:rsidR="00434814" w:rsidRDefault="00434814" w:rsidP="008760B6">
      <w:pPr>
        <w:ind w:left="708" w:right="-55"/>
        <w:jc w:val="both"/>
        <w:rPr>
          <w:rFonts w:ascii="Verdana" w:hAnsi="Verdana"/>
        </w:rPr>
      </w:pPr>
      <w:r>
        <w:rPr>
          <w:rFonts w:ascii="Verdana" w:hAnsi="Verdana"/>
        </w:rPr>
        <w:t>Para que en su caso se aplique la correspondiente bonificación la parte prestataria debe encontrarse al corriente de sus obligaciones por razón del préstamo y no tener débitos vencidos pendientes de pago a la Caja de Ingenieros por razón de otras operaciones.</w:t>
      </w:r>
    </w:p>
    <w:p w:rsidR="00434814" w:rsidRDefault="00434814" w:rsidP="008760B6">
      <w:pPr>
        <w:ind w:left="708" w:right="-55"/>
        <w:jc w:val="both"/>
        <w:rPr>
          <w:rFonts w:ascii="Verdana" w:hAnsi="Verdana"/>
        </w:rPr>
      </w:pPr>
    </w:p>
    <w:p w:rsidR="00434814" w:rsidRDefault="00434814" w:rsidP="008760B6">
      <w:pPr>
        <w:ind w:left="708" w:right="-55"/>
        <w:jc w:val="both"/>
        <w:rPr>
          <w:rFonts w:ascii="Verdana" w:hAnsi="Verdana"/>
        </w:rPr>
      </w:pPr>
      <w:r>
        <w:rPr>
          <w:rFonts w:ascii="Verdana" w:hAnsi="Verdana"/>
        </w:rPr>
        <w:t>Si por cualquier causa o razón la parte prestataria no mantuviera los productos a los que se ha hecho referencia, en las condiciones más arriba indicadas, las partes convienen que la Caja de Ingenieros queda facultada expresamente para dejar sin efecto las indicadas bonificaciones.</w:t>
      </w:r>
    </w:p>
    <w:p w:rsidR="00434814" w:rsidRDefault="00434814" w:rsidP="008760B6">
      <w:pPr>
        <w:ind w:right="-55"/>
        <w:jc w:val="both"/>
        <w:rPr>
          <w:rFonts w:ascii="Verdana" w:hAnsi="Verdana"/>
        </w:rPr>
      </w:pPr>
    </w:p>
    <w:p w:rsidR="00434814" w:rsidRDefault="00434814" w:rsidP="008760B6">
      <w:pPr>
        <w:ind w:right="-55"/>
        <w:jc w:val="both"/>
        <w:rPr>
          <w:rFonts w:ascii="Verdana" w:hAnsi="Verdana"/>
        </w:rPr>
      </w:pPr>
      <w:r>
        <w:rPr>
          <w:rFonts w:ascii="Verdana" w:hAnsi="Verdana"/>
        </w:rPr>
        <w:t xml:space="preserve">  </w:t>
      </w:r>
    </w:p>
    <w:p w:rsidR="00434814" w:rsidRDefault="00434814" w:rsidP="008760B6">
      <w:pPr>
        <w:ind w:left="708" w:right="-55"/>
        <w:jc w:val="both"/>
        <w:rPr>
          <w:rFonts w:ascii="Verdana" w:hAnsi="Verdana"/>
        </w:rPr>
      </w:pPr>
      <w:r>
        <w:rPr>
          <w:rFonts w:ascii="Verdana" w:hAnsi="Verdana"/>
          <w:b/>
          <w:vertAlign w:val="superscript"/>
        </w:rPr>
        <w:t>1</w:t>
      </w:r>
      <w:r>
        <w:rPr>
          <w:rFonts w:ascii="Verdana" w:hAnsi="Verdana"/>
        </w:rPr>
        <w:t xml:space="preserve"> Se equiparan a la nómina la pensión en el caso de los pensionistas o, en el caso de autónomos, seguros sociales más impuestos o, en el caso de personas en situación de desempleo, la prestación o el subsidio por desempleo. </w:t>
      </w:r>
    </w:p>
    <w:p w:rsidR="00434814" w:rsidRDefault="00434814" w:rsidP="008760B6">
      <w:pPr>
        <w:ind w:left="708" w:right="-55"/>
        <w:jc w:val="both"/>
        <w:rPr>
          <w:rFonts w:ascii="Verdana" w:hAnsi="Verdana"/>
        </w:rPr>
      </w:pPr>
    </w:p>
    <w:p w:rsidR="00F67974" w:rsidRDefault="00F67974" w:rsidP="008760B6">
      <w:pPr>
        <w:ind w:left="708" w:right="-55"/>
        <w:jc w:val="both"/>
        <w:rPr>
          <w:rFonts w:ascii="Verdana" w:hAnsi="Verdana"/>
        </w:rPr>
      </w:pPr>
    </w:p>
    <w:p w:rsidR="00F67974" w:rsidRDefault="00C90EE5" w:rsidP="00F67974">
      <w:pPr>
        <w:ind w:left="708" w:right="-55"/>
        <w:jc w:val="both"/>
        <w:rPr>
          <w:rFonts w:ascii="Verdana" w:hAnsi="Verdana"/>
        </w:rPr>
      </w:pPr>
      <w:r>
        <w:rPr>
          <w:rFonts w:ascii="Verdana" w:hAnsi="Verdana"/>
          <w:b/>
          <w:vertAlign w:val="superscript"/>
        </w:rPr>
        <w:t>2</w:t>
      </w:r>
      <w:r w:rsidR="00F67974">
        <w:rPr>
          <w:rFonts w:ascii="Verdana" w:hAnsi="Verdana"/>
        </w:rPr>
        <w:t xml:space="preserve"> Siempre que la parte prestataria, al menos una de las personas físicas prestatarias, contrate de forma simultánea al presente préstamo hipotecario un seguro de vida por un capital asegurado que como mínimo permanecerá igual al importe inicialmente contratado o al riesgo vivo del préstamo e indicando como beneficiario a Caja de Ingenieros.</w:t>
      </w:r>
    </w:p>
    <w:p w:rsidR="00F67974" w:rsidRDefault="00F67974" w:rsidP="00F67974">
      <w:pPr>
        <w:ind w:left="708" w:right="-55"/>
        <w:jc w:val="both"/>
        <w:rPr>
          <w:rFonts w:ascii="Verdana" w:hAnsi="Verdana"/>
        </w:rPr>
      </w:pPr>
    </w:p>
    <w:p w:rsidR="00F67974" w:rsidRDefault="00C90EE5" w:rsidP="00F67974">
      <w:pPr>
        <w:ind w:left="708" w:right="-55"/>
        <w:jc w:val="both"/>
        <w:rPr>
          <w:rFonts w:ascii="Verdana" w:hAnsi="Verdana"/>
        </w:rPr>
      </w:pPr>
      <w:r>
        <w:rPr>
          <w:rFonts w:ascii="Verdana" w:hAnsi="Verdana"/>
          <w:b/>
          <w:vertAlign w:val="superscript"/>
        </w:rPr>
        <w:t>3</w:t>
      </w:r>
      <w:r w:rsidR="00F67974">
        <w:rPr>
          <w:rFonts w:ascii="Verdana" w:hAnsi="Verdana"/>
        </w:rPr>
        <w:t xml:space="preserve"> Siempre que la parte prestataria, al menos una de las personas físicas prestatarias, contrate de forma simultánea al presente préstamo hipotecario un seguro de hogar de la/s finca/s hipotecada/s durante la vigencia del préstamo hipotecario, con cobertura contra incendios y como mínimo por el valor indicado en la tasación pericial e indicando en ambos casos como beneficiario a Caja de Ingenieros.</w:t>
      </w:r>
    </w:p>
    <w:p w:rsidR="0067377E" w:rsidRDefault="0067377E">
      <w:pPr>
        <w:rPr>
          <w:rFonts w:ascii="Verdana" w:hAnsi="Verdana"/>
        </w:rPr>
      </w:pPr>
    </w:p>
    <w:p w:rsidR="00434814" w:rsidRPr="00034CDD" w:rsidRDefault="00434814" w:rsidP="008760B6">
      <w:pPr>
        <w:ind w:left="708" w:right="-55"/>
        <w:jc w:val="both"/>
        <w:rPr>
          <w:rFonts w:ascii="Verdana" w:hAnsi="Verdana"/>
        </w:rPr>
      </w:pPr>
    </w:p>
    <w:p w:rsidR="00434814" w:rsidRPr="00BC5A3D" w:rsidRDefault="00434814" w:rsidP="00BC5A3D">
      <w:pPr>
        <w:pStyle w:val="Prrafodelista"/>
        <w:numPr>
          <w:ilvl w:val="0"/>
          <w:numId w:val="14"/>
        </w:numPr>
        <w:ind w:right="-55"/>
        <w:jc w:val="both"/>
        <w:rPr>
          <w:rFonts w:ascii="Verdana" w:hAnsi="Verdana"/>
          <w:sz w:val="22"/>
          <w:szCs w:val="22"/>
        </w:rPr>
      </w:pPr>
      <w:r w:rsidRPr="00BC5A3D">
        <w:rPr>
          <w:rFonts w:ascii="Verdana" w:hAnsi="Verdana"/>
          <w:b/>
          <w:sz w:val="22"/>
          <w:szCs w:val="22"/>
        </w:rPr>
        <w:t>Gastos preparatorios</w:t>
      </w:r>
      <w:r w:rsidR="00B8704A" w:rsidRPr="00BC5A3D">
        <w:rPr>
          <w:rFonts w:ascii="Verdana" w:hAnsi="Verdana"/>
          <w:b/>
          <w:sz w:val="22"/>
          <w:szCs w:val="22"/>
        </w:rPr>
        <w:t xml:space="preserve"> a cargo del </w:t>
      </w:r>
      <w:r w:rsidR="00003060" w:rsidRPr="00BC5A3D">
        <w:rPr>
          <w:rFonts w:ascii="Verdana" w:hAnsi="Verdana"/>
          <w:b/>
          <w:sz w:val="22"/>
          <w:szCs w:val="22"/>
        </w:rPr>
        <w:t>solicitante</w:t>
      </w:r>
      <w:r w:rsidR="00656221" w:rsidRPr="00BC5A3D">
        <w:rPr>
          <w:rFonts w:ascii="Verdana" w:hAnsi="Verdana"/>
          <w:b/>
          <w:sz w:val="22"/>
          <w:szCs w:val="22"/>
        </w:rPr>
        <w:t xml:space="preserve"> /prestatario</w:t>
      </w:r>
      <w:r w:rsidRPr="00BC5A3D">
        <w:rPr>
          <w:rFonts w:ascii="Verdana" w:hAnsi="Verdana"/>
          <w:sz w:val="22"/>
          <w:szCs w:val="22"/>
        </w:rPr>
        <w:t>:</w:t>
      </w:r>
    </w:p>
    <w:p w:rsidR="00434814" w:rsidRPr="00034CDD" w:rsidRDefault="00434814" w:rsidP="008760B6">
      <w:pPr>
        <w:ind w:right="-55"/>
        <w:jc w:val="both"/>
        <w:rPr>
          <w:rFonts w:ascii="Verdana" w:hAnsi="Verdana"/>
        </w:rPr>
      </w:pPr>
    </w:p>
    <w:p w:rsidR="00434814" w:rsidRDefault="00434814" w:rsidP="00434814">
      <w:pPr>
        <w:numPr>
          <w:ilvl w:val="0"/>
          <w:numId w:val="6"/>
        </w:numPr>
        <w:ind w:right="-55"/>
        <w:jc w:val="both"/>
        <w:rPr>
          <w:rFonts w:ascii="Verdana" w:hAnsi="Verdana"/>
          <w:spacing w:val="-2"/>
        </w:rPr>
      </w:pPr>
      <w:r>
        <w:rPr>
          <w:rFonts w:ascii="Verdana" w:hAnsi="Verdana"/>
          <w:b/>
        </w:rPr>
        <w:t>T</w:t>
      </w:r>
      <w:r w:rsidRPr="00034CDD">
        <w:rPr>
          <w:rFonts w:ascii="Verdana" w:hAnsi="Verdana"/>
          <w:b/>
          <w:spacing w:val="-2"/>
        </w:rPr>
        <w:t>asación</w:t>
      </w:r>
      <w:r w:rsidRPr="00034CDD">
        <w:rPr>
          <w:rFonts w:ascii="Verdana" w:hAnsi="Verdana"/>
          <w:spacing w:val="-2"/>
        </w:rPr>
        <w:t xml:space="preserve"> de la finca a hipotecar:</w:t>
      </w:r>
      <w:r>
        <w:rPr>
          <w:rFonts w:ascii="Verdana" w:hAnsi="Verdana"/>
          <w:spacing w:val="-2"/>
        </w:rPr>
        <w:t xml:space="preserve"> La tasación del inmueble será requisito necesario para la firma del préstamo hipotecario. P</w:t>
      </w:r>
      <w:r w:rsidRPr="00034CDD">
        <w:rPr>
          <w:rFonts w:ascii="Verdana" w:hAnsi="Verdana"/>
          <w:spacing w:val="-2"/>
        </w:rPr>
        <w:t xml:space="preserve">odrá estar realizada por cualquier sociedad de tasación homologada y aportada por el socio/cliente siempre que no haya caducado, sin suponer ningún coste adicional a la misma por esta razón. </w:t>
      </w:r>
    </w:p>
    <w:p w:rsidR="00434814" w:rsidRPr="00034CDD" w:rsidRDefault="00434814" w:rsidP="008760B6">
      <w:pPr>
        <w:ind w:left="360" w:right="-55"/>
        <w:jc w:val="both"/>
        <w:rPr>
          <w:rFonts w:ascii="Verdana" w:hAnsi="Verdana"/>
          <w:spacing w:val="-2"/>
        </w:rPr>
      </w:pPr>
    </w:p>
    <w:p w:rsidR="00434814" w:rsidRPr="00034CDD" w:rsidRDefault="00434814" w:rsidP="00B457E8">
      <w:pPr>
        <w:numPr>
          <w:ilvl w:val="1"/>
          <w:numId w:val="2"/>
        </w:numPr>
        <w:tabs>
          <w:tab w:val="clear" w:pos="1800"/>
          <w:tab w:val="left" w:pos="-1440"/>
          <w:tab w:val="left" w:pos="-720"/>
          <w:tab w:val="left" w:pos="380"/>
          <w:tab w:val="left" w:pos="2393"/>
          <w:tab w:val="decimal" w:pos="3544"/>
          <w:tab w:val="decimal" w:pos="5011"/>
          <w:tab w:val="decimal" w:pos="6120"/>
          <w:tab w:val="decimal" w:pos="7330"/>
          <w:tab w:val="decimal" w:pos="8539"/>
          <w:tab w:val="left" w:pos="9360"/>
          <w:tab w:val="left" w:pos="10080"/>
        </w:tabs>
        <w:suppressAutoHyphens/>
        <w:ind w:left="1418" w:hanging="708"/>
        <w:rPr>
          <w:rFonts w:ascii="Verdana" w:hAnsi="Verdana"/>
          <w:spacing w:val="-2"/>
        </w:rPr>
      </w:pPr>
      <w:r w:rsidRPr="00034CDD">
        <w:rPr>
          <w:rFonts w:ascii="Verdana" w:hAnsi="Verdana"/>
          <w:spacing w:val="-2"/>
        </w:rPr>
        <w:t>Viviendas plurifamiliares terminadas y Plazas de aparcamiento</w:t>
      </w:r>
    </w:p>
    <w:p w:rsidR="00434814" w:rsidRPr="00034CDD" w:rsidRDefault="00434814" w:rsidP="00B457E8">
      <w:pPr>
        <w:pStyle w:val="Ttulo8"/>
        <w:ind w:left="1418"/>
        <w:rPr>
          <w:rFonts w:ascii="Verdana" w:hAnsi="Verdana"/>
          <w:sz w:val="20"/>
        </w:rPr>
      </w:pPr>
      <w:r w:rsidRPr="00034CDD">
        <w:rPr>
          <w:rFonts w:ascii="Verdana" w:hAnsi="Verdana"/>
          <w:sz w:val="20"/>
        </w:rPr>
        <w:t xml:space="preserve">Hasta 180.000 eur </w:t>
      </w:r>
      <w:r w:rsidRPr="00034CDD">
        <w:rPr>
          <w:rFonts w:ascii="Verdana" w:hAnsi="Verdana"/>
          <w:sz w:val="20"/>
        </w:rPr>
        <w:tab/>
      </w:r>
      <w:r w:rsidRPr="00034CDD">
        <w:rPr>
          <w:rFonts w:ascii="Verdana" w:hAnsi="Verdana"/>
          <w:b/>
          <w:sz w:val="20"/>
        </w:rPr>
        <w:t>190,00 eur</w:t>
      </w:r>
      <w:r>
        <w:rPr>
          <w:rFonts w:ascii="Verdana" w:hAnsi="Verdana"/>
          <w:b/>
          <w:sz w:val="20"/>
        </w:rPr>
        <w:t>os</w:t>
      </w:r>
    </w:p>
    <w:p w:rsidR="00434814" w:rsidRPr="00034CDD" w:rsidRDefault="00434814" w:rsidP="00B457E8">
      <w:pPr>
        <w:tabs>
          <w:tab w:val="right" w:pos="-1440"/>
          <w:tab w:val="left" w:pos="-720"/>
          <w:tab w:val="left" w:pos="380"/>
          <w:tab w:val="left" w:leader="dot" w:pos="6237"/>
          <w:tab w:val="left" w:pos="9360"/>
          <w:tab w:val="left" w:pos="10080"/>
        </w:tabs>
        <w:suppressAutoHyphens/>
        <w:ind w:left="1418"/>
        <w:jc w:val="both"/>
        <w:rPr>
          <w:rFonts w:ascii="Verdana" w:hAnsi="Verdana"/>
          <w:spacing w:val="-2"/>
        </w:rPr>
      </w:pPr>
      <w:r w:rsidRPr="00034CDD">
        <w:rPr>
          <w:rFonts w:ascii="Verdana" w:hAnsi="Verdana"/>
          <w:spacing w:val="-2"/>
        </w:rPr>
        <w:t>De 180.000 a 300.000 eur</w:t>
      </w:r>
      <w:r w:rsidRPr="00034CDD">
        <w:rPr>
          <w:rFonts w:ascii="Verdana" w:hAnsi="Verdana"/>
          <w:spacing w:val="-2"/>
        </w:rPr>
        <w:tab/>
      </w:r>
      <w:r w:rsidRPr="00034CDD">
        <w:rPr>
          <w:rFonts w:ascii="Verdana" w:hAnsi="Verdana"/>
          <w:b/>
          <w:spacing w:val="-2"/>
        </w:rPr>
        <w:t>220,00 eur</w:t>
      </w:r>
      <w:r>
        <w:rPr>
          <w:rFonts w:ascii="Verdana" w:hAnsi="Verdana"/>
          <w:b/>
          <w:spacing w:val="-2"/>
        </w:rPr>
        <w:t>os</w:t>
      </w:r>
    </w:p>
    <w:p w:rsidR="00434814" w:rsidRPr="00034CDD" w:rsidRDefault="00434814" w:rsidP="00B457E8">
      <w:pPr>
        <w:pStyle w:val="Ttulo8"/>
        <w:tabs>
          <w:tab w:val="clear" w:pos="380"/>
          <w:tab w:val="clear" w:pos="6237"/>
          <w:tab w:val="left" w:pos="851"/>
          <w:tab w:val="left" w:leader="dot" w:pos="5103"/>
        </w:tabs>
        <w:ind w:left="1418"/>
        <w:rPr>
          <w:rFonts w:ascii="Verdana" w:hAnsi="Verdana"/>
          <w:b/>
          <w:sz w:val="20"/>
        </w:rPr>
      </w:pPr>
      <w:r w:rsidRPr="00034CDD">
        <w:rPr>
          <w:rFonts w:ascii="Verdana" w:hAnsi="Verdana"/>
          <w:sz w:val="20"/>
        </w:rPr>
        <w:t>Superior a 300.000 eur</w:t>
      </w:r>
      <w:r w:rsidRPr="00034CDD">
        <w:rPr>
          <w:rFonts w:ascii="Verdana" w:hAnsi="Verdana"/>
          <w:sz w:val="20"/>
        </w:rPr>
        <w:tab/>
      </w:r>
      <w:r w:rsidRPr="00034CDD">
        <w:rPr>
          <w:rFonts w:ascii="Verdana" w:hAnsi="Verdana"/>
          <w:b/>
          <w:sz w:val="20"/>
        </w:rPr>
        <w:t>220,00 + 0,07% exceso de 300.000 eur</w:t>
      </w:r>
      <w:r>
        <w:rPr>
          <w:rFonts w:ascii="Verdana" w:hAnsi="Verdana"/>
          <w:b/>
          <w:sz w:val="20"/>
        </w:rPr>
        <w:t>os</w:t>
      </w:r>
    </w:p>
    <w:p w:rsidR="00434814" w:rsidRPr="00034CDD" w:rsidRDefault="00434814" w:rsidP="00B457E8">
      <w:pPr>
        <w:numPr>
          <w:ilvl w:val="1"/>
          <w:numId w:val="2"/>
        </w:numPr>
        <w:tabs>
          <w:tab w:val="clear" w:pos="1800"/>
          <w:tab w:val="right" w:pos="-1440"/>
          <w:tab w:val="left" w:pos="-720"/>
          <w:tab w:val="left" w:pos="380"/>
          <w:tab w:val="left" w:leader="dot" w:pos="5103"/>
          <w:tab w:val="left" w:pos="9360"/>
          <w:tab w:val="left" w:pos="10080"/>
        </w:tabs>
        <w:suppressAutoHyphens/>
        <w:ind w:left="1418" w:hanging="708"/>
        <w:rPr>
          <w:rFonts w:ascii="Verdana" w:hAnsi="Verdana"/>
          <w:spacing w:val="-2"/>
        </w:rPr>
      </w:pPr>
      <w:r w:rsidRPr="00034CDD">
        <w:rPr>
          <w:rFonts w:ascii="Verdana" w:hAnsi="Verdana"/>
          <w:spacing w:val="-2"/>
        </w:rPr>
        <w:t>Viviendas unifamiliares y Viviendas en construcción</w:t>
      </w:r>
    </w:p>
    <w:p w:rsidR="00434814" w:rsidRPr="00034CDD" w:rsidRDefault="00434814" w:rsidP="00B457E8">
      <w:pPr>
        <w:pStyle w:val="Ttulo8"/>
        <w:ind w:left="1418"/>
        <w:rPr>
          <w:rFonts w:ascii="Verdana" w:hAnsi="Verdana"/>
          <w:sz w:val="20"/>
        </w:rPr>
      </w:pPr>
      <w:r w:rsidRPr="00034CDD">
        <w:rPr>
          <w:rFonts w:ascii="Verdana" w:hAnsi="Verdana"/>
          <w:sz w:val="20"/>
        </w:rPr>
        <w:t>Hasta 180.000 eur</w:t>
      </w:r>
      <w:r w:rsidRPr="00034CDD">
        <w:rPr>
          <w:rFonts w:ascii="Verdana" w:hAnsi="Verdana"/>
          <w:sz w:val="20"/>
        </w:rPr>
        <w:tab/>
      </w:r>
      <w:r w:rsidRPr="00034CDD">
        <w:rPr>
          <w:rFonts w:ascii="Verdana" w:hAnsi="Verdana"/>
          <w:b/>
          <w:sz w:val="20"/>
        </w:rPr>
        <w:t>210,00 eur</w:t>
      </w:r>
      <w:r>
        <w:rPr>
          <w:rFonts w:ascii="Verdana" w:hAnsi="Verdana"/>
          <w:b/>
          <w:sz w:val="20"/>
        </w:rPr>
        <w:t>os</w:t>
      </w:r>
    </w:p>
    <w:p w:rsidR="00434814" w:rsidRPr="00034CDD" w:rsidRDefault="00434814" w:rsidP="00B457E8">
      <w:pPr>
        <w:tabs>
          <w:tab w:val="right" w:pos="-1440"/>
          <w:tab w:val="left" w:pos="-720"/>
          <w:tab w:val="left" w:pos="380"/>
          <w:tab w:val="left" w:leader="dot" w:pos="6237"/>
          <w:tab w:val="left" w:pos="9360"/>
          <w:tab w:val="left" w:pos="10080"/>
        </w:tabs>
        <w:suppressAutoHyphens/>
        <w:ind w:left="1418"/>
        <w:jc w:val="both"/>
        <w:rPr>
          <w:rFonts w:ascii="Verdana" w:hAnsi="Verdana"/>
          <w:b/>
          <w:spacing w:val="-2"/>
        </w:rPr>
      </w:pPr>
      <w:r w:rsidRPr="00034CDD">
        <w:rPr>
          <w:rFonts w:ascii="Verdana" w:hAnsi="Verdana"/>
          <w:spacing w:val="-2"/>
        </w:rPr>
        <w:t>De 180.000 a 300.000 eur</w:t>
      </w:r>
      <w:r w:rsidRPr="00034CDD">
        <w:rPr>
          <w:rFonts w:ascii="Verdana" w:hAnsi="Verdana"/>
          <w:spacing w:val="-2"/>
        </w:rPr>
        <w:tab/>
      </w:r>
      <w:r w:rsidRPr="00034CDD">
        <w:rPr>
          <w:rFonts w:ascii="Verdana" w:hAnsi="Verdana"/>
          <w:b/>
          <w:spacing w:val="-2"/>
        </w:rPr>
        <w:t>240,00 eur</w:t>
      </w:r>
      <w:r>
        <w:rPr>
          <w:rFonts w:ascii="Verdana" w:hAnsi="Verdana"/>
          <w:b/>
          <w:spacing w:val="-2"/>
        </w:rPr>
        <w:t>os</w:t>
      </w:r>
    </w:p>
    <w:p w:rsidR="00434814" w:rsidRPr="00034CDD" w:rsidRDefault="00434814" w:rsidP="00B457E8">
      <w:pPr>
        <w:pStyle w:val="Ttulo8"/>
        <w:tabs>
          <w:tab w:val="clear" w:pos="380"/>
          <w:tab w:val="clear" w:pos="6237"/>
          <w:tab w:val="left" w:leader="dot" w:pos="5103"/>
        </w:tabs>
        <w:ind w:left="1418"/>
        <w:rPr>
          <w:rFonts w:ascii="Verdana" w:hAnsi="Verdana"/>
          <w:sz w:val="20"/>
        </w:rPr>
      </w:pPr>
      <w:r w:rsidRPr="00034CDD">
        <w:rPr>
          <w:rFonts w:ascii="Verdana" w:hAnsi="Verdana"/>
          <w:sz w:val="20"/>
        </w:rPr>
        <w:t>Superior a 300.000 eur</w:t>
      </w:r>
      <w:r w:rsidRPr="00034CDD">
        <w:rPr>
          <w:rFonts w:ascii="Verdana" w:hAnsi="Verdana"/>
          <w:sz w:val="20"/>
        </w:rPr>
        <w:tab/>
      </w:r>
      <w:r w:rsidRPr="00034CDD">
        <w:rPr>
          <w:rFonts w:ascii="Verdana" w:hAnsi="Verdana"/>
          <w:b/>
          <w:sz w:val="20"/>
        </w:rPr>
        <w:t>240,00 + 0,07% exceso de 300.000 eur</w:t>
      </w:r>
      <w:r>
        <w:rPr>
          <w:rFonts w:ascii="Verdana" w:hAnsi="Verdana"/>
          <w:b/>
          <w:sz w:val="20"/>
        </w:rPr>
        <w:t>os</w:t>
      </w:r>
    </w:p>
    <w:p w:rsidR="00434814" w:rsidRDefault="00434814" w:rsidP="008760B6">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ind w:left="360"/>
        <w:jc w:val="both"/>
        <w:rPr>
          <w:rFonts w:ascii="Verdana" w:hAnsi="Verdana"/>
          <w:spacing w:val="-2"/>
        </w:rPr>
      </w:pPr>
    </w:p>
    <w:p w:rsidR="00434814" w:rsidRPr="00034CDD" w:rsidRDefault="00434814" w:rsidP="008760B6">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ind w:left="720"/>
        <w:jc w:val="both"/>
        <w:rPr>
          <w:rFonts w:ascii="Verdana" w:hAnsi="Verdana"/>
          <w:spacing w:val="-2"/>
        </w:rPr>
      </w:pPr>
      <w:r w:rsidRPr="00034CDD">
        <w:rPr>
          <w:rFonts w:ascii="Verdana" w:hAnsi="Verdana"/>
          <w:spacing w:val="-2"/>
        </w:rPr>
        <w:t>Si hay más de una finca registral del mismo edificio (y que se valoren en el mismo informe), el coste de la 2ª finca será de un 60%, y el 50% para las restantes.</w:t>
      </w:r>
    </w:p>
    <w:p w:rsidR="00434814" w:rsidRPr="00034CDD" w:rsidRDefault="00434814" w:rsidP="008760B6">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ind w:left="720"/>
        <w:jc w:val="both"/>
        <w:rPr>
          <w:rFonts w:ascii="Verdana" w:hAnsi="Verdana"/>
          <w:spacing w:val="-2"/>
        </w:rPr>
      </w:pPr>
      <w:r w:rsidRPr="00034CDD">
        <w:rPr>
          <w:rFonts w:ascii="Verdana" w:hAnsi="Verdana"/>
          <w:spacing w:val="-2"/>
        </w:rPr>
        <w:t>Plazas de aparcamiento, trasteros, etc. incluidos a una vivienda se valorará a 20 eur/unidad.</w:t>
      </w:r>
    </w:p>
    <w:p w:rsidR="00434814" w:rsidRPr="00034CDD" w:rsidRDefault="00434814" w:rsidP="008760B6">
      <w:pPr>
        <w:pStyle w:val="Sangra2detindependiente"/>
        <w:tabs>
          <w:tab w:val="clear" w:pos="380"/>
        </w:tabs>
        <w:ind w:left="720"/>
        <w:rPr>
          <w:rFonts w:ascii="Verdana" w:hAnsi="Verdana"/>
          <w:sz w:val="20"/>
        </w:rPr>
      </w:pPr>
      <w:r w:rsidRPr="00034CDD">
        <w:rPr>
          <w:rFonts w:ascii="Verdana" w:hAnsi="Verdana"/>
          <w:sz w:val="20"/>
        </w:rPr>
        <w:t xml:space="preserve">Asimismo, los desplazamientos a partir de 20 Km. de la delegación más próxima incrementan el precio de la tasación a razón de 0,30 euros/km. </w:t>
      </w:r>
    </w:p>
    <w:p w:rsidR="00434814" w:rsidRPr="00034CDD" w:rsidRDefault="00434814" w:rsidP="008760B6">
      <w:pPr>
        <w:pStyle w:val="Sangradetextonormal"/>
        <w:tabs>
          <w:tab w:val="clear" w:pos="380"/>
        </w:tabs>
        <w:ind w:left="720"/>
        <w:rPr>
          <w:rFonts w:ascii="Verdana" w:hAnsi="Verdana"/>
          <w:sz w:val="20"/>
        </w:rPr>
      </w:pPr>
      <w:r w:rsidRPr="00034CDD">
        <w:rPr>
          <w:rFonts w:ascii="Verdana" w:hAnsi="Verdana"/>
          <w:sz w:val="20"/>
        </w:rPr>
        <w:t>Los gastos serán adeudados en la cuenta del cliente una vez efectuada la tasación, y aún cuando el préstamo no llegue a formalizarse.</w:t>
      </w:r>
    </w:p>
    <w:p w:rsidR="00434814" w:rsidRDefault="00434814" w:rsidP="008760B6">
      <w:pPr>
        <w:pStyle w:val="Sangradetextonormal"/>
        <w:tabs>
          <w:tab w:val="clear" w:pos="380"/>
        </w:tabs>
        <w:ind w:left="720"/>
        <w:rPr>
          <w:rFonts w:ascii="Verdana" w:hAnsi="Verdana"/>
          <w:sz w:val="20"/>
        </w:rPr>
      </w:pPr>
      <w:r w:rsidRPr="00034CDD">
        <w:rPr>
          <w:rFonts w:ascii="Verdana" w:hAnsi="Verdana"/>
          <w:sz w:val="20"/>
        </w:rPr>
        <w:t xml:space="preserve">A todos los importes expresados </w:t>
      </w:r>
      <w:r w:rsidRPr="00034CDD">
        <w:rPr>
          <w:rFonts w:ascii="Verdana" w:hAnsi="Verdana"/>
          <w:b/>
          <w:sz w:val="20"/>
        </w:rPr>
        <w:t>se les ha de añadir el I.V.A. correspondiente</w:t>
      </w:r>
      <w:r w:rsidRPr="00034CDD">
        <w:rPr>
          <w:rFonts w:ascii="Verdana" w:hAnsi="Verdana"/>
          <w:sz w:val="20"/>
        </w:rPr>
        <w:t>.</w:t>
      </w:r>
    </w:p>
    <w:p w:rsidR="00434814" w:rsidRPr="00034CDD" w:rsidRDefault="00434814" w:rsidP="008760B6">
      <w:pPr>
        <w:pStyle w:val="Sangradetextonormal"/>
        <w:tabs>
          <w:tab w:val="clear" w:pos="380"/>
        </w:tabs>
        <w:ind w:left="360"/>
        <w:rPr>
          <w:rFonts w:ascii="Verdana" w:hAnsi="Verdana"/>
          <w:sz w:val="20"/>
        </w:rPr>
      </w:pPr>
    </w:p>
    <w:p w:rsidR="00434814" w:rsidRDefault="00434814" w:rsidP="00C45D82">
      <w:pPr>
        <w:numPr>
          <w:ilvl w:val="0"/>
          <w:numId w:val="2"/>
        </w:numPr>
        <w:tabs>
          <w:tab w:val="clear" w:pos="1080"/>
          <w:tab w:val="left" w:pos="-1440"/>
          <w:tab w:val="left" w:pos="-720"/>
          <w:tab w:val="left" w:pos="2393"/>
          <w:tab w:val="decimal" w:pos="3902"/>
          <w:tab w:val="decimal" w:pos="5011"/>
          <w:tab w:val="decimal" w:pos="6120"/>
          <w:tab w:val="decimal" w:pos="7330"/>
          <w:tab w:val="decimal" w:pos="8539"/>
          <w:tab w:val="left" w:pos="9360"/>
          <w:tab w:val="left" w:pos="10080"/>
        </w:tabs>
        <w:suppressAutoHyphens/>
        <w:ind w:left="709"/>
        <w:jc w:val="both"/>
        <w:rPr>
          <w:rFonts w:ascii="Verdana" w:hAnsi="Verdana"/>
          <w:spacing w:val="-2"/>
        </w:rPr>
      </w:pPr>
      <w:r w:rsidRPr="00C45D82">
        <w:rPr>
          <w:rFonts w:ascii="Verdana" w:hAnsi="Verdana"/>
          <w:b/>
          <w:spacing w:val="-2"/>
        </w:rPr>
        <w:t>Comprobación registral del inmueble</w:t>
      </w:r>
      <w:r w:rsidRPr="00C45D82">
        <w:rPr>
          <w:rFonts w:ascii="Verdana" w:hAnsi="Verdana"/>
          <w:spacing w:val="-2"/>
        </w:rPr>
        <w:t>: Coste previsible estimado</w:t>
      </w:r>
      <w:r w:rsidR="00C45D82">
        <w:rPr>
          <w:rFonts w:ascii="Verdana" w:hAnsi="Verdana"/>
          <w:spacing w:val="-2"/>
        </w:rPr>
        <w:t xml:space="preserve"> por finca registral</w:t>
      </w:r>
      <w:r w:rsidRPr="00C45D82">
        <w:rPr>
          <w:rFonts w:ascii="Verdana" w:hAnsi="Verdana"/>
          <w:spacing w:val="-2"/>
        </w:rPr>
        <w:t xml:space="preserve">: </w:t>
      </w:r>
      <w:r w:rsidR="00C45D82">
        <w:rPr>
          <w:rFonts w:ascii="Verdana" w:hAnsi="Verdana"/>
          <w:b/>
          <w:spacing w:val="-2"/>
        </w:rPr>
        <w:t>1</w:t>
      </w:r>
      <w:r w:rsidRPr="00C45D82">
        <w:rPr>
          <w:rFonts w:ascii="Verdana" w:hAnsi="Verdana"/>
          <w:b/>
          <w:spacing w:val="-2"/>
        </w:rPr>
        <w:t>5,00 euros + IVA</w:t>
      </w:r>
      <w:r w:rsidRPr="00C45D82">
        <w:rPr>
          <w:rFonts w:ascii="Verdana" w:hAnsi="Verdana"/>
          <w:spacing w:val="-2"/>
        </w:rPr>
        <w:t xml:space="preserve">. </w:t>
      </w:r>
    </w:p>
    <w:p w:rsidR="00C45D82" w:rsidRPr="00C45D82" w:rsidRDefault="00C45D82" w:rsidP="00C45D82">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ind w:left="851"/>
        <w:jc w:val="both"/>
        <w:rPr>
          <w:rFonts w:ascii="Verdana" w:hAnsi="Verdana"/>
          <w:spacing w:val="-2"/>
        </w:rPr>
      </w:pPr>
    </w:p>
    <w:p w:rsidR="00434814" w:rsidRDefault="00434814" w:rsidP="00BC5A3D">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ind w:left="709"/>
        <w:jc w:val="both"/>
        <w:rPr>
          <w:rFonts w:ascii="Verdana" w:hAnsi="Verdana"/>
          <w:spacing w:val="-2"/>
        </w:rPr>
      </w:pPr>
      <w:r w:rsidRPr="00A53521">
        <w:rPr>
          <w:rFonts w:ascii="Verdana" w:hAnsi="Verdana"/>
          <w:spacing w:val="-2"/>
        </w:rPr>
        <w:t>El importe de estos gastos deberá satisfacerlo el solicitante con independencia de que la operación se lleve a buen término</w:t>
      </w:r>
      <w:r w:rsidR="00D91ECC">
        <w:rPr>
          <w:rFonts w:ascii="Verdana" w:hAnsi="Verdana"/>
          <w:spacing w:val="-2"/>
        </w:rPr>
        <w:t>.</w:t>
      </w:r>
      <w:r w:rsidRPr="00A53521">
        <w:rPr>
          <w:rFonts w:ascii="Verdana" w:hAnsi="Verdana"/>
          <w:spacing w:val="-2"/>
        </w:rPr>
        <w:t xml:space="preserve"> </w:t>
      </w:r>
      <w:r w:rsidR="00D91ECC">
        <w:rPr>
          <w:rFonts w:ascii="Verdana" w:hAnsi="Verdana"/>
          <w:spacing w:val="-2"/>
        </w:rPr>
        <w:t>S</w:t>
      </w:r>
      <w:r w:rsidRPr="00A53521">
        <w:rPr>
          <w:rFonts w:ascii="Verdana" w:hAnsi="Verdana"/>
          <w:spacing w:val="-2"/>
        </w:rPr>
        <w:t>i además la finalidad del mismo es la adquisición de vivienda el socio/cliente podrá designar, de mutuo acuerdo con la Entidad, la persona o entidad que vaya a llevar a cabo la tasación del inmueble, la gestoría, así como la entidad aseguradora que, en su caso, vaya a cubrir las contingencias exigidas para la formalización del préstamo.</w:t>
      </w:r>
    </w:p>
    <w:p w:rsidR="0067377E" w:rsidRPr="00034CDD" w:rsidRDefault="0067377E" w:rsidP="008760B6">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ind w:left="360"/>
        <w:jc w:val="both"/>
        <w:rPr>
          <w:rFonts w:ascii="Verdana" w:hAnsi="Verdana"/>
          <w:spacing w:val="-2"/>
        </w:rPr>
      </w:pPr>
    </w:p>
    <w:p w:rsidR="00FC6403" w:rsidRPr="00BC5A3D" w:rsidRDefault="00FC6403" w:rsidP="00FC6403">
      <w:pPr>
        <w:pStyle w:val="Prrafodelista"/>
        <w:numPr>
          <w:ilvl w:val="0"/>
          <w:numId w:val="14"/>
        </w:numPr>
        <w:ind w:right="-55"/>
        <w:jc w:val="both"/>
        <w:rPr>
          <w:rFonts w:ascii="Verdana" w:hAnsi="Verdana"/>
          <w:sz w:val="22"/>
          <w:szCs w:val="22"/>
        </w:rPr>
      </w:pPr>
      <w:r w:rsidRPr="00BC5A3D">
        <w:rPr>
          <w:rFonts w:ascii="Verdana" w:hAnsi="Verdana"/>
          <w:b/>
          <w:sz w:val="22"/>
          <w:szCs w:val="22"/>
        </w:rPr>
        <w:t xml:space="preserve">Gastos </w:t>
      </w:r>
      <w:r w:rsidR="004922E0" w:rsidRPr="00BC5A3D">
        <w:rPr>
          <w:rFonts w:ascii="Verdana" w:hAnsi="Verdana"/>
          <w:b/>
          <w:sz w:val="22"/>
          <w:szCs w:val="22"/>
        </w:rPr>
        <w:t xml:space="preserve">vinculados a la formalización del préstamo hipotecario </w:t>
      </w:r>
      <w:r w:rsidRPr="00BC5A3D">
        <w:rPr>
          <w:rFonts w:ascii="Verdana" w:hAnsi="Verdana"/>
          <w:b/>
          <w:sz w:val="22"/>
          <w:szCs w:val="22"/>
        </w:rPr>
        <w:t>a cargo del solicitante /prestatario</w:t>
      </w:r>
      <w:r w:rsidRPr="00BC5A3D">
        <w:rPr>
          <w:rFonts w:ascii="Verdana" w:hAnsi="Verdana"/>
          <w:sz w:val="22"/>
          <w:szCs w:val="22"/>
        </w:rPr>
        <w:t>:</w:t>
      </w:r>
    </w:p>
    <w:p w:rsidR="00434814" w:rsidRPr="00BC5A3D" w:rsidRDefault="00434814" w:rsidP="008760B6">
      <w:pPr>
        <w:pStyle w:val="Sangra2detindependiente"/>
        <w:rPr>
          <w:rFonts w:ascii="Verdana" w:hAnsi="Verdana"/>
          <w:sz w:val="20"/>
          <w:lang w:val="es-ES"/>
        </w:rPr>
      </w:pPr>
    </w:p>
    <w:p w:rsidR="00434814" w:rsidRPr="00BA1727" w:rsidRDefault="00434814" w:rsidP="00434814">
      <w:pPr>
        <w:pStyle w:val="Sangra2detindependiente"/>
        <w:numPr>
          <w:ilvl w:val="0"/>
          <w:numId w:val="2"/>
        </w:numPr>
        <w:tabs>
          <w:tab w:val="clear" w:pos="1080"/>
          <w:tab w:val="num" w:pos="709"/>
        </w:tabs>
        <w:ind w:left="709"/>
        <w:rPr>
          <w:rFonts w:ascii="Verdana" w:hAnsi="Verdana"/>
          <w:sz w:val="20"/>
        </w:rPr>
      </w:pPr>
      <w:r w:rsidRPr="007C349B">
        <w:rPr>
          <w:rFonts w:ascii="Verdana" w:hAnsi="Verdana"/>
          <w:b/>
          <w:sz w:val="20"/>
        </w:rPr>
        <w:t>Seguros</w:t>
      </w:r>
      <w:r>
        <w:rPr>
          <w:rFonts w:ascii="Verdana" w:hAnsi="Verdana"/>
          <w:b/>
          <w:sz w:val="20"/>
        </w:rPr>
        <w:t xml:space="preserve">: </w:t>
      </w:r>
      <w:r w:rsidRPr="0073477C">
        <w:rPr>
          <w:rFonts w:ascii="Verdana" w:hAnsi="Verdana"/>
          <w:sz w:val="20"/>
        </w:rPr>
        <w:t>Según la normativa vigente</w:t>
      </w:r>
      <w:r>
        <w:rPr>
          <w:rFonts w:ascii="Verdana" w:hAnsi="Verdana"/>
          <w:b/>
          <w:sz w:val="20"/>
        </w:rPr>
        <w:t xml:space="preserve"> </w:t>
      </w:r>
      <w:r w:rsidRPr="0073477C">
        <w:rPr>
          <w:rFonts w:ascii="Verdana" w:hAnsi="Verdana"/>
          <w:sz w:val="20"/>
        </w:rPr>
        <w:t>e</w:t>
      </w:r>
      <w:r>
        <w:rPr>
          <w:rFonts w:ascii="Verdana" w:hAnsi="Verdana"/>
          <w:sz w:val="20"/>
        </w:rPr>
        <w:t>l solicitante ha de tener contratado y en vigor durante toda la vida del préstamo un seguro que cubra los riesgos de daños e incendio de la vivienda que se hipoteca, debiendo notificarse al asegurador la existencia del préstamo hipotecario y siendo la Entidad beneficiaria de la indemnización correspondiente en caso de siniestro.</w:t>
      </w:r>
      <w:r>
        <w:rPr>
          <w:rFonts w:ascii="Verdana" w:hAnsi="Verdana"/>
          <w:b/>
          <w:sz w:val="20"/>
        </w:rPr>
        <w:t xml:space="preserve"> </w:t>
      </w:r>
      <w:r w:rsidRPr="00210534">
        <w:rPr>
          <w:rFonts w:ascii="Verdana" w:hAnsi="Verdana"/>
          <w:sz w:val="20"/>
        </w:rPr>
        <w:t xml:space="preserve">El coste orientativo </w:t>
      </w:r>
      <w:r>
        <w:rPr>
          <w:rFonts w:ascii="Verdana" w:hAnsi="Verdana"/>
          <w:sz w:val="20"/>
        </w:rPr>
        <w:t>y sin que suponga vinculación alguna para la Entidad, para una vivienda de tipo medio en núcleo urbano de superficie entre 80-90 m2 ascendería a 240 € euros de prima anual.</w:t>
      </w:r>
    </w:p>
    <w:p w:rsidR="00434814" w:rsidRPr="00BA1727" w:rsidRDefault="00434814" w:rsidP="008760B6">
      <w:pPr>
        <w:pStyle w:val="Sangra2detindependiente"/>
        <w:ind w:left="0"/>
        <w:rPr>
          <w:rFonts w:ascii="Verdana" w:hAnsi="Verdana"/>
          <w:sz w:val="20"/>
        </w:rPr>
      </w:pPr>
    </w:p>
    <w:p w:rsidR="00434814" w:rsidRPr="00535466" w:rsidRDefault="00E04580" w:rsidP="00FC6403">
      <w:pPr>
        <w:pStyle w:val="Sangra2detindependiente"/>
        <w:numPr>
          <w:ilvl w:val="0"/>
          <w:numId w:val="2"/>
        </w:numPr>
        <w:tabs>
          <w:tab w:val="clear" w:pos="1080"/>
        </w:tabs>
        <w:ind w:left="709"/>
        <w:rPr>
          <w:rFonts w:ascii="Verdana" w:hAnsi="Verdana"/>
          <w:sz w:val="20"/>
        </w:rPr>
      </w:pPr>
      <w:r w:rsidRPr="00E04580">
        <w:rPr>
          <w:rStyle w:val="aounit1"/>
          <w:rFonts w:ascii="Arial" w:hAnsi="Arial" w:cs="Arial"/>
          <w:b/>
          <w:color w:val="000000"/>
          <w:sz w:val="21"/>
          <w:szCs w:val="21"/>
        </w:rPr>
        <w:t>Impuestos y Aranceles Notariales</w:t>
      </w:r>
      <w:r w:rsidR="00434814" w:rsidRPr="00E04580">
        <w:rPr>
          <w:rFonts w:ascii="Verdana" w:hAnsi="Verdana"/>
          <w:b/>
          <w:sz w:val="20"/>
        </w:rPr>
        <w:t>:</w:t>
      </w:r>
      <w:r w:rsidR="00434814">
        <w:rPr>
          <w:rFonts w:ascii="Verdana" w:hAnsi="Verdana"/>
          <w:b/>
          <w:sz w:val="20"/>
        </w:rPr>
        <w:t xml:space="preserve"> </w:t>
      </w:r>
      <w:r w:rsidR="00434814">
        <w:rPr>
          <w:rFonts w:ascii="Verdana" w:hAnsi="Verdana"/>
          <w:sz w:val="20"/>
        </w:rPr>
        <w:t>La formalización de la escritura pública de hipoteca obliga al pago del Impuesto de Actos Jurídicos Documentados (A.J.D.), que asciende a un porcentaje (si bien el mismo puede variar en función de cada Comunidad Autónoma) sobre la cifra de responsabilidad hipotecaria total</w:t>
      </w:r>
      <w:r w:rsidR="00AD48A5">
        <w:rPr>
          <w:rFonts w:ascii="Verdana" w:hAnsi="Verdana"/>
          <w:sz w:val="20"/>
        </w:rPr>
        <w:t xml:space="preserve"> (los gastos serán asumidos por el sujeto pasivo de la operación, en este caso el solicitante)</w:t>
      </w:r>
      <w:r w:rsidR="00434814">
        <w:rPr>
          <w:rFonts w:ascii="Verdana" w:hAnsi="Verdana"/>
          <w:sz w:val="20"/>
        </w:rPr>
        <w:t xml:space="preserve">. La base imponible del A.J.D. como de ambos aranceles es la responsabilidad </w:t>
      </w:r>
      <w:r w:rsidR="00D91ECC">
        <w:rPr>
          <w:rFonts w:ascii="Verdana" w:hAnsi="Verdana"/>
          <w:sz w:val="20"/>
        </w:rPr>
        <w:t xml:space="preserve">total </w:t>
      </w:r>
      <w:r w:rsidR="00434814">
        <w:rPr>
          <w:rFonts w:ascii="Verdana" w:hAnsi="Verdana"/>
          <w:sz w:val="20"/>
        </w:rPr>
        <w:t xml:space="preserve">hipotecaria de las fincas hipotecadas. La responsabilidad </w:t>
      </w:r>
      <w:r w:rsidR="00D91ECC">
        <w:rPr>
          <w:rFonts w:ascii="Verdana" w:hAnsi="Verdana"/>
          <w:sz w:val="20"/>
        </w:rPr>
        <w:t xml:space="preserve">total </w:t>
      </w:r>
      <w:r w:rsidR="00434814">
        <w:rPr>
          <w:rFonts w:ascii="Verdana" w:hAnsi="Verdana"/>
          <w:sz w:val="20"/>
        </w:rPr>
        <w:t xml:space="preserve">hipotecaria es el resultado de sumar al principal del préstamo los intereses ordinarios de </w:t>
      </w:r>
      <w:r w:rsidR="00093F48">
        <w:rPr>
          <w:rFonts w:ascii="Verdana" w:hAnsi="Verdana"/>
          <w:sz w:val="20"/>
        </w:rPr>
        <w:t>un</w:t>
      </w:r>
      <w:r w:rsidR="00434814">
        <w:rPr>
          <w:rFonts w:ascii="Verdana" w:hAnsi="Verdana"/>
          <w:sz w:val="20"/>
        </w:rPr>
        <w:t xml:space="preserve"> año </w:t>
      </w:r>
      <w:r w:rsidR="00093F48">
        <w:rPr>
          <w:rFonts w:ascii="Verdana" w:hAnsi="Verdana"/>
          <w:sz w:val="20"/>
        </w:rPr>
        <w:t>hasta un máximo del 7</w:t>
      </w:r>
      <w:r w:rsidR="00434814">
        <w:rPr>
          <w:rFonts w:ascii="Verdana" w:hAnsi="Verdana"/>
          <w:sz w:val="20"/>
        </w:rPr>
        <w:t xml:space="preserve">,00 % anual, más los interés de demora de </w:t>
      </w:r>
      <w:r w:rsidR="0067663E">
        <w:rPr>
          <w:rFonts w:ascii="Verdana" w:hAnsi="Verdana"/>
          <w:sz w:val="20"/>
        </w:rPr>
        <w:t>dos</w:t>
      </w:r>
      <w:r w:rsidR="00434814">
        <w:rPr>
          <w:rFonts w:ascii="Verdana" w:hAnsi="Verdana"/>
          <w:sz w:val="20"/>
        </w:rPr>
        <w:t xml:space="preserve"> años al 9,00 % anual (tres veces el interés legal del dinero a fecha 1 de enero de 2016) y un 5 % del principal por costas procesales. Dichos importes se refieren únicamente a las escrituras públicas que documenten la operación hipotecaria, quedando expresamente excluidas cualesquiera otras escrituras que puedan otorgarse en el mismo acto (en especial, escrituras de compraventa).</w:t>
      </w:r>
      <w:r w:rsidR="004922E0" w:rsidRPr="004922E0">
        <w:rPr>
          <w:rFonts w:ascii="Verdana" w:hAnsi="Verdana"/>
          <w:sz w:val="20"/>
        </w:rPr>
        <w:t xml:space="preserve"> </w:t>
      </w:r>
      <w:r w:rsidR="004922E0">
        <w:rPr>
          <w:rFonts w:ascii="Verdana" w:hAnsi="Verdana"/>
          <w:sz w:val="20"/>
        </w:rPr>
        <w:t xml:space="preserve">El solicitante ha de pagar también los </w:t>
      </w:r>
      <w:r w:rsidR="00992577">
        <w:rPr>
          <w:rFonts w:ascii="Verdana" w:hAnsi="Verdana"/>
          <w:sz w:val="20"/>
        </w:rPr>
        <w:t xml:space="preserve">aranceles notariales derivados </w:t>
      </w:r>
      <w:r w:rsidR="004922E0">
        <w:rPr>
          <w:rFonts w:ascii="Verdana" w:hAnsi="Verdana"/>
          <w:sz w:val="20"/>
        </w:rPr>
        <w:t>del otorgamiento de la escritura pública del préstamo hipotecario</w:t>
      </w:r>
      <w:r w:rsidR="00992577">
        <w:rPr>
          <w:rFonts w:ascii="Verdana" w:hAnsi="Verdana"/>
          <w:sz w:val="20"/>
        </w:rPr>
        <w:t>, excepto los derivados de las copias notariales en interés de la entidad que vendrán asumidos por esta</w:t>
      </w:r>
      <w:r w:rsidR="005601BA">
        <w:rPr>
          <w:rFonts w:ascii="Verdana" w:hAnsi="Verdana"/>
          <w:sz w:val="20"/>
        </w:rPr>
        <w:t>.</w:t>
      </w:r>
    </w:p>
    <w:p w:rsidR="00434814" w:rsidRDefault="00434814" w:rsidP="00FC6403">
      <w:pPr>
        <w:pStyle w:val="Sangra2detindependiente"/>
        <w:ind w:left="709"/>
        <w:rPr>
          <w:rFonts w:ascii="Verdana" w:hAnsi="Verdana"/>
          <w:sz w:val="20"/>
        </w:rPr>
      </w:pPr>
    </w:p>
    <w:p w:rsidR="00434814" w:rsidRDefault="00434814" w:rsidP="00FC6403">
      <w:pPr>
        <w:pStyle w:val="Sangra2detindependiente"/>
        <w:ind w:left="709"/>
        <w:rPr>
          <w:rFonts w:ascii="Verdana" w:hAnsi="Verdana"/>
          <w:sz w:val="20"/>
        </w:rPr>
      </w:pPr>
    </w:p>
    <w:p w:rsidR="00434814" w:rsidRDefault="00434814" w:rsidP="00434814">
      <w:pPr>
        <w:pStyle w:val="Sangra2detindependiente"/>
        <w:numPr>
          <w:ilvl w:val="0"/>
          <w:numId w:val="2"/>
        </w:numPr>
        <w:tabs>
          <w:tab w:val="clear" w:pos="1080"/>
          <w:tab w:val="clear" w:pos="2393"/>
          <w:tab w:val="left" w:pos="709"/>
        </w:tabs>
        <w:ind w:left="709"/>
        <w:rPr>
          <w:rFonts w:ascii="Verdana" w:hAnsi="Verdana"/>
          <w:sz w:val="20"/>
        </w:rPr>
      </w:pPr>
      <w:r>
        <w:rPr>
          <w:rFonts w:ascii="Verdana" w:hAnsi="Verdana"/>
          <w:b/>
          <w:sz w:val="20"/>
        </w:rPr>
        <w:t xml:space="preserve">Gestoría: </w:t>
      </w:r>
      <w:r>
        <w:rPr>
          <w:rFonts w:ascii="Verdana" w:hAnsi="Verdana"/>
          <w:sz w:val="20"/>
        </w:rPr>
        <w:t>El prestatario pagará los gastos producidos por la tramitación de la presentación de</w:t>
      </w:r>
      <w:r w:rsidR="005601BA">
        <w:rPr>
          <w:rFonts w:ascii="Verdana" w:hAnsi="Verdana"/>
          <w:sz w:val="20"/>
        </w:rPr>
        <w:t xml:space="preserve">l A.J.D. u otros </w:t>
      </w:r>
      <w:r>
        <w:rPr>
          <w:rFonts w:ascii="Verdana" w:hAnsi="Verdana"/>
          <w:sz w:val="20"/>
        </w:rPr>
        <w:t xml:space="preserve"> impuestos </w:t>
      </w:r>
      <w:r w:rsidR="005601BA">
        <w:rPr>
          <w:rFonts w:ascii="Verdana" w:hAnsi="Verdana"/>
          <w:sz w:val="20"/>
        </w:rPr>
        <w:t xml:space="preserve">que le correspondan como sujeto pasivo de la operación </w:t>
      </w:r>
      <w:r>
        <w:rPr>
          <w:rFonts w:ascii="Verdana" w:hAnsi="Verdana"/>
          <w:sz w:val="20"/>
        </w:rPr>
        <w:t>ante la Administración Tributaria. La provisión de fondos se realizará en el momento de la firma de la escritura. A modo orientativo, el importe estimado de los gastos de tramitación para un préstamo hipotecario por importe de 1</w:t>
      </w:r>
      <w:r w:rsidR="005601BA">
        <w:rPr>
          <w:rFonts w:ascii="Verdana" w:hAnsi="Verdana"/>
          <w:sz w:val="20"/>
        </w:rPr>
        <w:t>5</w:t>
      </w:r>
      <w:r>
        <w:rPr>
          <w:rFonts w:ascii="Verdana" w:hAnsi="Verdana"/>
          <w:sz w:val="20"/>
        </w:rPr>
        <w:t xml:space="preserve">0.000 Euros, para las Gestorías con las que suele trabajar habitualmente Caja de Ingenieros, ascendería a </w:t>
      </w:r>
      <w:r w:rsidR="00656221">
        <w:rPr>
          <w:rFonts w:ascii="Verdana" w:hAnsi="Verdana"/>
          <w:sz w:val="20"/>
        </w:rPr>
        <w:t>2</w:t>
      </w:r>
      <w:r w:rsidR="001D5446">
        <w:rPr>
          <w:rFonts w:ascii="Verdana" w:hAnsi="Verdana"/>
          <w:sz w:val="20"/>
        </w:rPr>
        <w:t>11,57 Euros + IVA</w:t>
      </w:r>
      <w:r>
        <w:rPr>
          <w:rFonts w:ascii="Verdana" w:hAnsi="Verdana"/>
          <w:sz w:val="20"/>
        </w:rPr>
        <w:t>. Dichos importes se refieren únicamente a las escrituras públicas que documenten la operación hipotecaria, quedando expresamente excluidas cualesquiera otras escrituras que puedan otorgarse en el mismo acto (en especial, escrituras de compraventa).</w:t>
      </w:r>
    </w:p>
    <w:p w:rsidR="00AF5333" w:rsidRDefault="00AF5333" w:rsidP="00BC5A3D">
      <w:pPr>
        <w:pStyle w:val="Sangra2detindependiente"/>
        <w:tabs>
          <w:tab w:val="clear" w:pos="2393"/>
          <w:tab w:val="left" w:pos="709"/>
        </w:tabs>
        <w:ind w:left="709"/>
        <w:rPr>
          <w:rFonts w:ascii="Verdana" w:hAnsi="Verdana"/>
          <w:sz w:val="20"/>
        </w:rPr>
      </w:pPr>
    </w:p>
    <w:p w:rsidR="0059452D" w:rsidRDefault="0059452D">
      <w:pPr>
        <w:rPr>
          <w:rFonts w:ascii="Verdana" w:hAnsi="Verdana"/>
        </w:rPr>
      </w:pPr>
    </w:p>
    <w:p w:rsidR="00092926" w:rsidRDefault="00AF5333" w:rsidP="00BC5A3D">
      <w:pPr>
        <w:ind w:left="142"/>
        <w:rPr>
          <w:rFonts w:ascii="Verdana" w:hAnsi="Verdana"/>
        </w:rPr>
      </w:pPr>
      <w:r>
        <w:rPr>
          <w:rFonts w:ascii="Verdana" w:hAnsi="Verdana"/>
        </w:rPr>
        <w:t xml:space="preserve">Así mismo </w:t>
      </w:r>
      <w:r w:rsidR="00D91ECC">
        <w:rPr>
          <w:rFonts w:ascii="Verdana" w:hAnsi="Verdana"/>
        </w:rPr>
        <w:t>correrán a cargo</w:t>
      </w:r>
      <w:r w:rsidR="00FC6403">
        <w:rPr>
          <w:rFonts w:ascii="Verdana" w:hAnsi="Verdana"/>
        </w:rPr>
        <w:t xml:space="preserve"> del solicitante / prestatario </w:t>
      </w:r>
      <w:r w:rsidR="00092926" w:rsidRPr="00092926">
        <w:rPr>
          <w:rFonts w:ascii="Verdana" w:hAnsi="Verdana"/>
        </w:rPr>
        <w:t xml:space="preserve">todos los gastos futuros, o </w:t>
      </w:r>
      <w:r w:rsidR="0056157C">
        <w:rPr>
          <w:rFonts w:ascii="Verdana" w:hAnsi="Verdana"/>
        </w:rPr>
        <w:t>p</w:t>
      </w:r>
      <w:r w:rsidR="00092926" w:rsidRPr="00092926">
        <w:rPr>
          <w:rFonts w:ascii="Verdana" w:hAnsi="Verdana"/>
        </w:rPr>
        <w:t>endi</w:t>
      </w:r>
      <w:r>
        <w:rPr>
          <w:rFonts w:ascii="Verdana" w:hAnsi="Verdana"/>
        </w:rPr>
        <w:t>entes de pago, siguientes:</w:t>
      </w:r>
    </w:p>
    <w:p w:rsidR="00AF5333" w:rsidRPr="00092926" w:rsidRDefault="00AF5333" w:rsidP="00092926">
      <w:pPr>
        <w:rPr>
          <w:rFonts w:ascii="Verdana" w:hAnsi="Verdana"/>
        </w:rPr>
      </w:pPr>
    </w:p>
    <w:p w:rsidR="00092926" w:rsidRPr="004626A7" w:rsidRDefault="00092926" w:rsidP="00092926">
      <w:pPr>
        <w:rPr>
          <w:rFonts w:ascii="Verdana" w:hAnsi="Verdana"/>
        </w:rPr>
      </w:pPr>
      <w:r w:rsidRPr="00092926">
        <w:rPr>
          <w:rFonts w:ascii="Verdana" w:hAnsi="Verdana"/>
        </w:rPr>
        <w:tab/>
      </w:r>
    </w:p>
    <w:p w:rsidR="00092926" w:rsidRPr="00BC5A3D" w:rsidRDefault="00092926" w:rsidP="00BC5A3D">
      <w:pPr>
        <w:pStyle w:val="Prrafodelista"/>
        <w:numPr>
          <w:ilvl w:val="0"/>
          <w:numId w:val="16"/>
        </w:numPr>
        <w:jc w:val="both"/>
        <w:rPr>
          <w:rFonts w:ascii="Verdana" w:hAnsi="Verdana"/>
          <w:spacing w:val="-2"/>
        </w:rPr>
      </w:pPr>
      <w:r w:rsidRPr="00BC5A3D">
        <w:rPr>
          <w:rFonts w:ascii="Verdana" w:hAnsi="Verdana"/>
          <w:spacing w:val="-2"/>
          <w:sz w:val="20"/>
          <w:szCs w:val="20"/>
        </w:rPr>
        <w:t>Los gastos, procesales o de otra naturaleza, derivados del incumplimiento por el prestatario de su obligación de pago, en particular y en el caso de reclamación judicial con imposición de costas al deudor, los siguientes: honorarios de Letrado y derechos de Procurador de que se valiese la Caja, así como los aranceles notariales y registrales, en caso de ejecución judicial o extrajudicial, así como suplidos devengados por consultas registrales, obtención de certificados de fedatarios públicos, requerimientos notariales y cualquier otro gasto justificable de carácter externo que se produzca.</w:t>
      </w:r>
      <w:r w:rsidRPr="00BC5A3D">
        <w:rPr>
          <w:rFonts w:ascii="Verdana" w:hAnsi="Verdana"/>
          <w:spacing w:val="-2"/>
          <w:sz w:val="20"/>
          <w:szCs w:val="20"/>
        </w:rPr>
        <w:tab/>
      </w:r>
    </w:p>
    <w:p w:rsidR="00092926" w:rsidRPr="00BC5A3D" w:rsidRDefault="00092926" w:rsidP="00BC5A3D">
      <w:pPr>
        <w:pStyle w:val="Prrafodelista"/>
        <w:numPr>
          <w:ilvl w:val="0"/>
          <w:numId w:val="16"/>
        </w:numPr>
        <w:jc w:val="both"/>
        <w:rPr>
          <w:rFonts w:ascii="Verdana" w:hAnsi="Verdana"/>
        </w:rPr>
      </w:pPr>
      <w:r w:rsidRPr="00BC5A3D">
        <w:rPr>
          <w:rFonts w:ascii="Verdana" w:hAnsi="Verdana"/>
          <w:sz w:val="20"/>
          <w:szCs w:val="20"/>
        </w:rPr>
        <w:t>Contribuciones, arbitrios, impuestos, exacciones en general, gastos de comunidad o de conservación del inmueble, o de su seguro de incendios y daños que, por cuenta de la prestataria, sean satisfechos por la entidad acreedora.</w:t>
      </w:r>
    </w:p>
    <w:p w:rsidR="00092926" w:rsidRPr="00BC5A3D" w:rsidRDefault="00092926" w:rsidP="00BC5A3D">
      <w:pPr>
        <w:pStyle w:val="Prrafodelista"/>
        <w:numPr>
          <w:ilvl w:val="0"/>
          <w:numId w:val="16"/>
        </w:numPr>
        <w:jc w:val="both"/>
        <w:rPr>
          <w:rFonts w:ascii="Verdana" w:hAnsi="Verdana"/>
        </w:rPr>
      </w:pPr>
      <w:r w:rsidRPr="00BC5A3D">
        <w:rPr>
          <w:rFonts w:ascii="Verdana" w:hAnsi="Verdana"/>
          <w:sz w:val="20"/>
          <w:szCs w:val="20"/>
        </w:rPr>
        <w:t>Los aranceles notariales, registrales, impuestos y gastos de gestoría que se ocasionen por razón de la modificación o cancelación de la hipoteca a instancia del prestatario.</w:t>
      </w:r>
    </w:p>
    <w:p w:rsidR="00092926" w:rsidRPr="003843BC" w:rsidRDefault="00092926" w:rsidP="00BC5A3D">
      <w:pPr>
        <w:pStyle w:val="Prrafodelista"/>
        <w:numPr>
          <w:ilvl w:val="0"/>
          <w:numId w:val="16"/>
        </w:numPr>
        <w:ind w:hanging="294"/>
        <w:jc w:val="both"/>
        <w:rPr>
          <w:rFonts w:ascii="Verdana" w:hAnsi="Verdana"/>
        </w:rPr>
      </w:pPr>
      <w:r w:rsidRPr="00BC5A3D">
        <w:rPr>
          <w:rFonts w:ascii="Verdana" w:hAnsi="Verdana"/>
          <w:sz w:val="20"/>
          <w:szCs w:val="20"/>
        </w:rPr>
        <w:t xml:space="preserve">Los aranceles notariales, registrales, impuestos y gastos de gestoría que se ocasionen por razón de la subsanación o aclaración de la hipoteca cuando dicha subsanación o aclaración tenga su origen en causas imputables al prestatario.  </w:t>
      </w:r>
    </w:p>
    <w:p w:rsidR="00E92C61" w:rsidRPr="00BC5A3D" w:rsidRDefault="00E92C61" w:rsidP="00BC5A3D">
      <w:pPr>
        <w:pStyle w:val="Prrafodelista"/>
        <w:ind w:left="720"/>
        <w:jc w:val="both"/>
        <w:rPr>
          <w:rFonts w:ascii="Verdana" w:hAnsi="Verdana"/>
        </w:rPr>
      </w:pPr>
    </w:p>
    <w:p w:rsidR="0059452D" w:rsidRPr="00BC5A3D" w:rsidRDefault="00092926" w:rsidP="00BC5A3D">
      <w:pPr>
        <w:pStyle w:val="Prrafodelista"/>
        <w:numPr>
          <w:ilvl w:val="0"/>
          <w:numId w:val="16"/>
        </w:numPr>
        <w:ind w:hanging="294"/>
        <w:jc w:val="both"/>
        <w:rPr>
          <w:rFonts w:ascii="Verdana" w:hAnsi="Verdana"/>
          <w:spacing w:val="-2"/>
        </w:rPr>
      </w:pPr>
      <w:r w:rsidRPr="00BC5A3D">
        <w:rPr>
          <w:rFonts w:ascii="Verdana" w:hAnsi="Verdana"/>
          <w:sz w:val="20"/>
          <w:szCs w:val="20"/>
        </w:rPr>
        <w:t>Gastos, en su caso, de descalificación de la vivienda.</w:t>
      </w:r>
    </w:p>
    <w:p w:rsidR="00003060" w:rsidRDefault="00003060" w:rsidP="00BC5A3D">
      <w:pPr>
        <w:pStyle w:val="Sangra2detindependiente"/>
        <w:tabs>
          <w:tab w:val="clear" w:pos="2393"/>
          <w:tab w:val="left" w:pos="709"/>
        </w:tabs>
        <w:ind w:left="709"/>
        <w:rPr>
          <w:rFonts w:ascii="Verdana" w:hAnsi="Verdana"/>
          <w:sz w:val="20"/>
        </w:rPr>
      </w:pPr>
    </w:p>
    <w:p w:rsidR="00350FF4" w:rsidRDefault="00350FF4">
      <w:pPr>
        <w:rPr>
          <w:rFonts w:ascii="Verdana" w:hAnsi="Verdana"/>
          <w:spacing w:val="-2"/>
        </w:rPr>
      </w:pPr>
    </w:p>
    <w:p w:rsidR="00434814" w:rsidRPr="00BC5A3D" w:rsidRDefault="00434814" w:rsidP="00BC5A3D">
      <w:pPr>
        <w:pStyle w:val="Prrafodelista"/>
        <w:numPr>
          <w:ilvl w:val="0"/>
          <w:numId w:val="14"/>
        </w:numPr>
        <w:ind w:right="-55"/>
        <w:jc w:val="both"/>
        <w:rPr>
          <w:rFonts w:ascii="Verdana" w:hAnsi="Verdana"/>
          <w:sz w:val="22"/>
          <w:szCs w:val="22"/>
        </w:rPr>
      </w:pPr>
      <w:r w:rsidRPr="00BC5A3D">
        <w:rPr>
          <w:rFonts w:ascii="Verdana" w:hAnsi="Verdana"/>
          <w:b/>
          <w:sz w:val="22"/>
          <w:szCs w:val="22"/>
        </w:rPr>
        <w:t>Otros costes</w:t>
      </w:r>
      <w:r w:rsidR="00B2021B" w:rsidRPr="00BC5A3D">
        <w:rPr>
          <w:rFonts w:ascii="Verdana" w:hAnsi="Verdana"/>
          <w:b/>
          <w:sz w:val="22"/>
          <w:szCs w:val="22"/>
        </w:rPr>
        <w:t xml:space="preserve"> a cargo del solicitante /prestatario</w:t>
      </w:r>
      <w:r w:rsidRPr="00BC5A3D">
        <w:rPr>
          <w:rFonts w:ascii="Verdana" w:hAnsi="Verdana"/>
          <w:sz w:val="22"/>
          <w:szCs w:val="22"/>
        </w:rPr>
        <w:t>:</w:t>
      </w:r>
    </w:p>
    <w:p w:rsidR="00434814" w:rsidRDefault="00434814" w:rsidP="008760B6">
      <w:pPr>
        <w:pStyle w:val="Sangra2detindependiente"/>
        <w:ind w:left="0"/>
        <w:rPr>
          <w:rFonts w:ascii="Verdana" w:hAnsi="Verdana"/>
          <w:sz w:val="20"/>
        </w:rPr>
      </w:pPr>
    </w:p>
    <w:p w:rsidR="00C47DAC" w:rsidRPr="00F256BC" w:rsidRDefault="00434814" w:rsidP="00BC5A3D">
      <w:pPr>
        <w:pStyle w:val="Sangra2detindependiente"/>
        <w:numPr>
          <w:ilvl w:val="0"/>
          <w:numId w:val="13"/>
        </w:numPr>
        <w:tabs>
          <w:tab w:val="clear" w:pos="380"/>
          <w:tab w:val="clear" w:pos="2393"/>
        </w:tabs>
        <w:ind w:hanging="294"/>
        <w:rPr>
          <w:rFonts w:ascii="Verdana" w:hAnsi="Verdana"/>
          <w:sz w:val="20"/>
        </w:rPr>
      </w:pPr>
      <w:r w:rsidRPr="00776E11">
        <w:rPr>
          <w:rFonts w:ascii="Verdana" w:hAnsi="Verdana"/>
          <w:b/>
          <w:sz w:val="20"/>
        </w:rPr>
        <w:t xml:space="preserve">Comisión de apertura: </w:t>
      </w:r>
      <w:r w:rsidRPr="00C47DAC">
        <w:rPr>
          <w:rFonts w:ascii="Verdana" w:hAnsi="Verdana"/>
          <w:b/>
          <w:sz w:val="20"/>
        </w:rPr>
        <w:t>0’75 %</w:t>
      </w:r>
      <w:r w:rsidRPr="00C47DAC">
        <w:rPr>
          <w:rFonts w:ascii="Verdana" w:hAnsi="Verdana"/>
          <w:sz w:val="20"/>
        </w:rPr>
        <w:t xml:space="preserve"> sobre capital solicitado con un </w:t>
      </w:r>
      <w:r w:rsidRPr="00C47DAC">
        <w:rPr>
          <w:rFonts w:ascii="Verdana" w:hAnsi="Verdana"/>
          <w:b/>
          <w:sz w:val="20"/>
        </w:rPr>
        <w:t xml:space="preserve">mínimo de 600 €. </w:t>
      </w:r>
    </w:p>
    <w:p w:rsidR="00F256BC" w:rsidRPr="005E1A71" w:rsidRDefault="00F256BC" w:rsidP="00D95E19">
      <w:pPr>
        <w:pStyle w:val="Sangra2detindependiente"/>
        <w:tabs>
          <w:tab w:val="clear" w:pos="380"/>
          <w:tab w:val="clear" w:pos="2393"/>
        </w:tabs>
        <w:ind w:left="720" w:hanging="436"/>
        <w:rPr>
          <w:rFonts w:ascii="Verdana" w:hAnsi="Verdana"/>
          <w:sz w:val="20"/>
        </w:rPr>
      </w:pPr>
    </w:p>
    <w:p w:rsidR="00434814" w:rsidRPr="00C47DAC" w:rsidRDefault="00C47DAC" w:rsidP="00A42E4A">
      <w:pPr>
        <w:pStyle w:val="Sangra2detindependiente"/>
        <w:numPr>
          <w:ilvl w:val="0"/>
          <w:numId w:val="13"/>
        </w:numPr>
        <w:tabs>
          <w:tab w:val="clear" w:pos="380"/>
          <w:tab w:val="clear" w:pos="2393"/>
        </w:tabs>
        <w:ind w:left="1276" w:hanging="294"/>
        <w:rPr>
          <w:rFonts w:ascii="Verdana" w:hAnsi="Verdana"/>
          <w:sz w:val="20"/>
        </w:rPr>
      </w:pPr>
      <w:r w:rsidRPr="00C47DAC">
        <w:rPr>
          <w:rFonts w:ascii="Verdana" w:hAnsi="Verdana"/>
          <w:b/>
          <w:sz w:val="20"/>
        </w:rPr>
        <w:t xml:space="preserve">Hogar: </w:t>
      </w:r>
      <w:r w:rsidR="00434814" w:rsidRPr="00C47DAC">
        <w:rPr>
          <w:rFonts w:ascii="Verdana" w:hAnsi="Verdana"/>
          <w:sz w:val="20"/>
        </w:rPr>
        <w:t xml:space="preserve">Se establece la posibilidad de una </w:t>
      </w:r>
      <w:r w:rsidR="00434814" w:rsidRPr="00C47DAC">
        <w:rPr>
          <w:rFonts w:ascii="Verdana" w:hAnsi="Verdana"/>
          <w:b/>
          <w:sz w:val="20"/>
        </w:rPr>
        <w:t>mejora o bonificación de</w:t>
      </w:r>
      <w:r w:rsidR="00434814" w:rsidRPr="00C47DAC">
        <w:rPr>
          <w:rFonts w:ascii="Verdana" w:hAnsi="Verdana"/>
          <w:sz w:val="20"/>
        </w:rPr>
        <w:t xml:space="preserve"> </w:t>
      </w:r>
      <w:r w:rsidR="00434814" w:rsidRPr="00C47DAC">
        <w:rPr>
          <w:rFonts w:ascii="Verdana" w:hAnsi="Verdana"/>
          <w:b/>
          <w:sz w:val="20"/>
        </w:rPr>
        <w:t>0,</w:t>
      </w:r>
      <w:r w:rsidR="00176585">
        <w:rPr>
          <w:rFonts w:ascii="Verdana" w:hAnsi="Verdana"/>
          <w:b/>
          <w:sz w:val="20"/>
        </w:rPr>
        <w:t>50</w:t>
      </w:r>
      <w:r w:rsidR="00434814" w:rsidRPr="00C47DAC">
        <w:rPr>
          <w:rFonts w:ascii="Verdana" w:hAnsi="Verdana"/>
          <w:b/>
          <w:sz w:val="20"/>
        </w:rPr>
        <w:t xml:space="preserve"> %,</w:t>
      </w:r>
      <w:r w:rsidR="00434814" w:rsidRPr="00C47DAC">
        <w:rPr>
          <w:rFonts w:ascii="Verdana" w:hAnsi="Verdana"/>
          <w:sz w:val="20"/>
        </w:rPr>
        <w:t xml:space="preserve"> con la contratación y mantenimiento de los productos y servicios que se relacionan en el punto 1 vinculaciones que antecede, pudiéndose aplicar </w:t>
      </w:r>
      <w:r w:rsidR="00434814" w:rsidRPr="00C47DAC">
        <w:rPr>
          <w:rFonts w:ascii="Verdana" w:hAnsi="Verdana"/>
          <w:b/>
          <w:sz w:val="20"/>
        </w:rPr>
        <w:t>0,</w:t>
      </w:r>
      <w:r w:rsidR="00176585">
        <w:rPr>
          <w:rFonts w:ascii="Verdana" w:hAnsi="Verdana"/>
          <w:b/>
          <w:sz w:val="20"/>
        </w:rPr>
        <w:t>25</w:t>
      </w:r>
      <w:r w:rsidR="00434814" w:rsidRPr="00C47DAC">
        <w:rPr>
          <w:rFonts w:ascii="Verdana" w:hAnsi="Verdana"/>
          <w:b/>
          <w:sz w:val="20"/>
        </w:rPr>
        <w:t>%</w:t>
      </w:r>
      <w:r w:rsidR="00434814" w:rsidRPr="00C47DAC">
        <w:rPr>
          <w:rFonts w:ascii="Verdana" w:hAnsi="Verdana"/>
          <w:sz w:val="20"/>
        </w:rPr>
        <w:t xml:space="preserve"> sobre capital solicitado con un </w:t>
      </w:r>
      <w:r w:rsidR="00434814" w:rsidRPr="00C47DAC">
        <w:rPr>
          <w:rFonts w:ascii="Verdana" w:hAnsi="Verdana"/>
          <w:b/>
          <w:sz w:val="20"/>
        </w:rPr>
        <w:t>mínimo de 600€</w:t>
      </w:r>
      <w:r w:rsidR="00434814" w:rsidRPr="00C47DAC">
        <w:rPr>
          <w:rFonts w:ascii="Verdana" w:hAnsi="Verdana"/>
          <w:sz w:val="20"/>
        </w:rPr>
        <w:t>.</w:t>
      </w:r>
    </w:p>
    <w:p w:rsidR="00434814" w:rsidRDefault="00434814" w:rsidP="00A42E4A">
      <w:pPr>
        <w:pStyle w:val="Sangra2detindependiente"/>
        <w:tabs>
          <w:tab w:val="clear" w:pos="380"/>
          <w:tab w:val="clear" w:pos="2393"/>
        </w:tabs>
        <w:ind w:left="1276" w:hanging="436"/>
        <w:rPr>
          <w:rFonts w:ascii="Verdana" w:hAnsi="Verdana"/>
          <w:sz w:val="20"/>
        </w:rPr>
      </w:pPr>
    </w:p>
    <w:p w:rsidR="00176585" w:rsidRDefault="00176585" w:rsidP="00A42E4A">
      <w:pPr>
        <w:pStyle w:val="Sangra2detindependiente"/>
        <w:numPr>
          <w:ilvl w:val="0"/>
          <w:numId w:val="13"/>
        </w:numPr>
        <w:tabs>
          <w:tab w:val="clear" w:pos="380"/>
          <w:tab w:val="clear" w:pos="2393"/>
        </w:tabs>
        <w:ind w:left="1276" w:hanging="294"/>
        <w:rPr>
          <w:rFonts w:ascii="Verdana" w:hAnsi="Verdana"/>
          <w:sz w:val="20"/>
        </w:rPr>
      </w:pPr>
      <w:r>
        <w:rPr>
          <w:rFonts w:ascii="Verdana" w:hAnsi="Verdana"/>
          <w:b/>
          <w:sz w:val="20"/>
        </w:rPr>
        <w:t>Universal, Mixta o Fija</w:t>
      </w:r>
      <w:r w:rsidRPr="00C47DAC">
        <w:rPr>
          <w:rFonts w:ascii="Verdana" w:hAnsi="Verdana"/>
          <w:b/>
          <w:sz w:val="20"/>
        </w:rPr>
        <w:t>:</w:t>
      </w:r>
      <w:r w:rsidRPr="00176585">
        <w:rPr>
          <w:rFonts w:ascii="Verdana" w:hAnsi="Verdana"/>
          <w:sz w:val="20"/>
        </w:rPr>
        <w:t xml:space="preserve"> </w:t>
      </w:r>
      <w:r w:rsidRPr="00C47DAC">
        <w:rPr>
          <w:rFonts w:ascii="Verdana" w:hAnsi="Verdana"/>
          <w:sz w:val="20"/>
        </w:rPr>
        <w:t xml:space="preserve">Se establece la posibilidad de una </w:t>
      </w:r>
      <w:r w:rsidRPr="00C47DAC">
        <w:rPr>
          <w:rFonts w:ascii="Verdana" w:hAnsi="Verdana"/>
          <w:b/>
          <w:sz w:val="20"/>
        </w:rPr>
        <w:t>mejora o bonificación de</w:t>
      </w:r>
      <w:r w:rsidRPr="00C47DAC">
        <w:rPr>
          <w:rFonts w:ascii="Verdana" w:hAnsi="Verdana"/>
          <w:sz w:val="20"/>
        </w:rPr>
        <w:t xml:space="preserve"> </w:t>
      </w:r>
      <w:r w:rsidRPr="00C47DAC">
        <w:rPr>
          <w:rFonts w:ascii="Verdana" w:hAnsi="Verdana"/>
          <w:b/>
          <w:sz w:val="20"/>
        </w:rPr>
        <w:t>0,25 %,</w:t>
      </w:r>
      <w:r w:rsidRPr="00C47DAC">
        <w:rPr>
          <w:rFonts w:ascii="Verdana" w:hAnsi="Verdana"/>
          <w:sz w:val="20"/>
        </w:rPr>
        <w:t xml:space="preserve"> con la contratación y mantenimiento de los productos y servicios que se relacionan en el punto 1 vinculaciones que antecede, pudiéndose aplicar </w:t>
      </w:r>
      <w:r w:rsidRPr="00C47DAC">
        <w:rPr>
          <w:rFonts w:ascii="Verdana" w:hAnsi="Verdana"/>
          <w:b/>
          <w:sz w:val="20"/>
        </w:rPr>
        <w:t>0,50 %</w:t>
      </w:r>
      <w:r w:rsidRPr="00C47DAC">
        <w:rPr>
          <w:rFonts w:ascii="Verdana" w:hAnsi="Verdana"/>
          <w:sz w:val="20"/>
        </w:rPr>
        <w:t xml:space="preserve"> sobre capital solicitado con un </w:t>
      </w:r>
      <w:r w:rsidRPr="00C47DAC">
        <w:rPr>
          <w:rFonts w:ascii="Verdana" w:hAnsi="Verdana"/>
          <w:b/>
          <w:sz w:val="20"/>
        </w:rPr>
        <w:t>mínimo de 600€</w:t>
      </w:r>
      <w:r w:rsidRPr="00C47DAC">
        <w:rPr>
          <w:rFonts w:ascii="Verdana" w:hAnsi="Verdana"/>
          <w:sz w:val="20"/>
        </w:rPr>
        <w:t>.</w:t>
      </w:r>
    </w:p>
    <w:p w:rsidR="007E64E8" w:rsidRDefault="007E64E8" w:rsidP="00BC5A3D">
      <w:pPr>
        <w:pStyle w:val="Sangra2detindependiente"/>
        <w:tabs>
          <w:tab w:val="clear" w:pos="380"/>
          <w:tab w:val="clear" w:pos="2393"/>
        </w:tabs>
        <w:ind w:left="720" w:hanging="436"/>
        <w:rPr>
          <w:rFonts w:ascii="Verdana" w:hAnsi="Verdana"/>
          <w:sz w:val="20"/>
        </w:rPr>
      </w:pPr>
    </w:p>
    <w:p w:rsidR="007E64E8" w:rsidRPr="00BC5A3D" w:rsidRDefault="007E64E8" w:rsidP="00BC5A3D">
      <w:pPr>
        <w:pStyle w:val="Prrafodelista"/>
        <w:numPr>
          <w:ilvl w:val="0"/>
          <w:numId w:val="14"/>
        </w:numPr>
        <w:ind w:right="-55" w:hanging="436"/>
        <w:jc w:val="both"/>
        <w:rPr>
          <w:rFonts w:ascii="Verdana" w:hAnsi="Verdana"/>
          <w:sz w:val="22"/>
          <w:szCs w:val="22"/>
        </w:rPr>
      </w:pPr>
      <w:r w:rsidRPr="00BC5A3D">
        <w:rPr>
          <w:rFonts w:ascii="Verdana" w:hAnsi="Verdana"/>
          <w:b/>
          <w:sz w:val="22"/>
          <w:szCs w:val="22"/>
        </w:rPr>
        <w:t>Gastos a cargo de Caja de Ingenieros</w:t>
      </w:r>
      <w:r w:rsidRPr="00BC5A3D">
        <w:rPr>
          <w:rFonts w:ascii="Verdana" w:hAnsi="Verdana"/>
          <w:sz w:val="22"/>
          <w:szCs w:val="22"/>
        </w:rPr>
        <w:t>:</w:t>
      </w:r>
    </w:p>
    <w:p w:rsidR="007E64E8" w:rsidRDefault="007E64E8" w:rsidP="00D95E19">
      <w:pPr>
        <w:pStyle w:val="Sangra2detindependiente"/>
        <w:tabs>
          <w:tab w:val="clear" w:pos="380"/>
          <w:tab w:val="clear" w:pos="2393"/>
        </w:tabs>
        <w:ind w:hanging="436"/>
        <w:rPr>
          <w:rFonts w:ascii="Verdana" w:hAnsi="Verdana"/>
          <w:sz w:val="20"/>
        </w:rPr>
      </w:pPr>
    </w:p>
    <w:p w:rsidR="007E64E8" w:rsidRPr="00BC5A3D" w:rsidRDefault="007E64E8" w:rsidP="00BC5A3D">
      <w:pPr>
        <w:pStyle w:val="Sangra2detindependiente"/>
        <w:numPr>
          <w:ilvl w:val="0"/>
          <w:numId w:val="13"/>
        </w:numPr>
        <w:tabs>
          <w:tab w:val="clear" w:pos="380"/>
          <w:tab w:val="clear" w:pos="2393"/>
        </w:tabs>
        <w:ind w:hanging="294"/>
        <w:rPr>
          <w:rFonts w:ascii="Verdana" w:hAnsi="Verdana"/>
          <w:sz w:val="20"/>
        </w:rPr>
      </w:pPr>
      <w:r w:rsidRPr="00C92336">
        <w:rPr>
          <w:rFonts w:ascii="Verdana" w:hAnsi="Verdana"/>
          <w:b/>
          <w:sz w:val="20"/>
        </w:rPr>
        <w:t>Caja de Ingenieros asume los gastos derivados de la expedición de las copias notariales en interés propio así como los gastos derivados de la gestión e inscripción de la hipoteca en el Registro de la Propiedad</w:t>
      </w:r>
      <w:r w:rsidR="00FB3082">
        <w:rPr>
          <w:rFonts w:ascii="Verdana" w:hAnsi="Verdana"/>
          <w:b/>
          <w:sz w:val="20"/>
        </w:rPr>
        <w:t>.</w:t>
      </w:r>
    </w:p>
    <w:p w:rsidR="0059452D" w:rsidRDefault="0059452D">
      <w:pPr>
        <w:rPr>
          <w:rFonts w:ascii="Verdana" w:hAnsi="Verdana"/>
          <w:b/>
          <w:spacing w:val="-2"/>
        </w:rPr>
      </w:pPr>
    </w:p>
    <w:p w:rsidR="0067377E" w:rsidRPr="00C47DAC" w:rsidRDefault="0067377E" w:rsidP="00BC5A3D">
      <w:pPr>
        <w:pStyle w:val="Sangra2detindependiente"/>
        <w:tabs>
          <w:tab w:val="clear" w:pos="2393"/>
          <w:tab w:val="left" w:pos="709"/>
        </w:tabs>
        <w:rPr>
          <w:rFonts w:ascii="Verdana" w:hAnsi="Verdana"/>
          <w:sz w:val="20"/>
        </w:rPr>
      </w:pPr>
    </w:p>
    <w:p w:rsidR="00434814" w:rsidRDefault="003F2179" w:rsidP="008760B6">
      <w:pPr>
        <w:pStyle w:val="Sangra2detindependiente"/>
        <w:ind w:left="0"/>
        <w:rPr>
          <w:rFonts w:ascii="Verdana" w:hAnsi="Verdana"/>
          <w:b/>
          <w:sz w:val="20"/>
        </w:rPr>
      </w:pPr>
      <w:r>
        <w:rPr>
          <w:rFonts w:ascii="Verdana" w:hAnsi="Verdana"/>
          <w:noProof/>
          <w:sz w:val="20"/>
        </w:rPr>
        <w:pict>
          <v:rect id="_x0000_s1030" style="position:absolute;left:0;text-align:left;margin-left:-4.05pt;margin-top:5.9pt;width:498.75pt;height:18.75pt;z-index:251663360" fillcolor="#4f81bd">
            <v:textbox>
              <w:txbxContent>
                <w:p w:rsidR="00C90EE5" w:rsidRPr="00750752" w:rsidRDefault="00C90EE5" w:rsidP="008760B6">
                  <w:pPr>
                    <w:rPr>
                      <w:rFonts w:ascii="Verdana" w:hAnsi="Verdana"/>
                      <w:color w:val="FFFFFF"/>
                    </w:rPr>
                  </w:pPr>
                  <w:r>
                    <w:rPr>
                      <w:rFonts w:ascii="Verdana" w:hAnsi="Verdana"/>
                      <w:color w:val="FFFFFF"/>
                    </w:rPr>
                    <w:t>Tasa anual equivalente y coste total del préstamo</w:t>
                  </w:r>
                </w:p>
              </w:txbxContent>
            </v:textbox>
          </v:rect>
        </w:pict>
      </w:r>
    </w:p>
    <w:p w:rsidR="00434814" w:rsidRDefault="00434814" w:rsidP="008760B6">
      <w:pPr>
        <w:ind w:right="-55"/>
        <w:jc w:val="both"/>
        <w:rPr>
          <w:rFonts w:ascii="Verdana" w:hAnsi="Verdana"/>
        </w:rPr>
      </w:pPr>
    </w:p>
    <w:p w:rsidR="00434814" w:rsidRPr="00372631" w:rsidRDefault="00434814" w:rsidP="008760B6">
      <w:pPr>
        <w:ind w:right="-55"/>
        <w:jc w:val="both"/>
        <w:rPr>
          <w:rFonts w:ascii="Verdana" w:hAnsi="Verdana"/>
        </w:rPr>
      </w:pPr>
    </w:p>
    <w:p w:rsidR="00434814" w:rsidRDefault="00434814" w:rsidP="00434814">
      <w:pPr>
        <w:numPr>
          <w:ilvl w:val="0"/>
          <w:numId w:val="12"/>
        </w:numPr>
        <w:tabs>
          <w:tab w:val="clear" w:pos="2130"/>
        </w:tabs>
        <w:ind w:left="567" w:right="-55"/>
        <w:jc w:val="both"/>
        <w:rPr>
          <w:rFonts w:ascii="Verdana" w:hAnsi="Verdana"/>
        </w:rPr>
      </w:pPr>
      <w:r>
        <w:rPr>
          <w:rFonts w:ascii="Verdana" w:hAnsi="Verdana"/>
          <w:b/>
        </w:rPr>
        <w:t>TAE Variable</w:t>
      </w:r>
      <w:r w:rsidRPr="00372631">
        <w:rPr>
          <w:rFonts w:ascii="Verdana" w:hAnsi="Verdana"/>
          <w:b/>
        </w:rPr>
        <w:t xml:space="preserve">: </w:t>
      </w:r>
      <w:r w:rsidRPr="00372631">
        <w:rPr>
          <w:rFonts w:ascii="Verdana" w:hAnsi="Verdana"/>
        </w:rPr>
        <w:t xml:space="preserve">es el coste total del préstamo expresado en forma de porcentaje anual, cuando en dicho contrato se contienen cláusulas que permiten modificaciones del tipo de interés. </w:t>
      </w:r>
      <w:r w:rsidRPr="00372631">
        <w:rPr>
          <w:rFonts w:ascii="Verdana" w:hAnsi="Verdana"/>
          <w:b/>
        </w:rPr>
        <w:t>La TAE</w:t>
      </w:r>
      <w:r>
        <w:rPr>
          <w:rFonts w:ascii="Verdana" w:hAnsi="Verdana"/>
          <w:b/>
        </w:rPr>
        <w:t xml:space="preserve"> </w:t>
      </w:r>
      <w:r w:rsidRPr="00372631">
        <w:rPr>
          <w:rFonts w:ascii="Verdana" w:hAnsi="Verdana"/>
          <w:b/>
        </w:rPr>
        <w:t>Variable sirve para ayudarle a comparar las diferentes ofertas</w:t>
      </w:r>
      <w:r w:rsidRPr="00372631">
        <w:rPr>
          <w:rFonts w:ascii="Verdana" w:hAnsi="Verdana"/>
        </w:rPr>
        <w:t>.</w:t>
      </w:r>
    </w:p>
    <w:p w:rsidR="00434814" w:rsidRPr="00DA4BD8" w:rsidRDefault="00434814" w:rsidP="008760B6">
      <w:pPr>
        <w:ind w:left="567" w:right="-55"/>
        <w:jc w:val="both"/>
        <w:rPr>
          <w:rFonts w:ascii="Verdana" w:hAnsi="Verdana"/>
        </w:rPr>
      </w:pPr>
    </w:p>
    <w:p w:rsidR="00434814" w:rsidRPr="00BC5A3D" w:rsidRDefault="00434814" w:rsidP="00434814">
      <w:pPr>
        <w:numPr>
          <w:ilvl w:val="0"/>
          <w:numId w:val="12"/>
        </w:numPr>
        <w:tabs>
          <w:tab w:val="clear" w:pos="2130"/>
        </w:tabs>
        <w:ind w:left="567" w:right="-55"/>
        <w:jc w:val="both"/>
        <w:rPr>
          <w:rFonts w:ascii="Verdana" w:hAnsi="Verdana"/>
        </w:rPr>
      </w:pPr>
      <w:r w:rsidRPr="00372631">
        <w:rPr>
          <w:rFonts w:ascii="Verdana" w:hAnsi="Verdana"/>
          <w:b/>
        </w:rPr>
        <w:t>TAE</w:t>
      </w:r>
      <w:r w:rsidRPr="00372631">
        <w:rPr>
          <w:rFonts w:ascii="Verdana" w:hAnsi="Verdana"/>
        </w:rPr>
        <w:t xml:space="preserve">: es el coste total del préstamo expresado en forma de porcentaje anual. </w:t>
      </w:r>
      <w:r w:rsidRPr="00372631">
        <w:rPr>
          <w:rFonts w:ascii="Verdana" w:hAnsi="Verdana"/>
          <w:b/>
        </w:rPr>
        <w:t>La TAE sirve para ayudarle a comparar las diferent</w:t>
      </w:r>
      <w:r>
        <w:rPr>
          <w:rFonts w:ascii="Verdana" w:hAnsi="Verdana"/>
          <w:b/>
        </w:rPr>
        <w:t>es ofertas.</w:t>
      </w:r>
    </w:p>
    <w:p w:rsidR="00FB3082" w:rsidRDefault="00FB3082" w:rsidP="00BC5A3D">
      <w:pPr>
        <w:ind w:right="-55"/>
        <w:jc w:val="both"/>
        <w:rPr>
          <w:rFonts w:ascii="Verdana" w:hAnsi="Verdana"/>
          <w:b/>
        </w:rPr>
      </w:pPr>
    </w:p>
    <w:p w:rsidR="00FB3082" w:rsidRPr="00372631" w:rsidRDefault="00FB3082" w:rsidP="00FB3082">
      <w:pPr>
        <w:numPr>
          <w:ilvl w:val="0"/>
          <w:numId w:val="12"/>
        </w:numPr>
        <w:tabs>
          <w:tab w:val="clear" w:pos="2130"/>
        </w:tabs>
        <w:ind w:left="567" w:right="-55"/>
        <w:jc w:val="both"/>
        <w:rPr>
          <w:rFonts w:ascii="Verdana" w:hAnsi="Verdana"/>
        </w:rPr>
      </w:pPr>
      <w:r w:rsidRPr="00372631">
        <w:rPr>
          <w:rFonts w:ascii="Verdana" w:hAnsi="Verdana"/>
        </w:rPr>
        <w:t>Otros componentes de la TAE</w:t>
      </w:r>
      <w:r>
        <w:rPr>
          <w:rFonts w:ascii="Verdana" w:hAnsi="Verdana"/>
        </w:rPr>
        <w:t xml:space="preserve"> </w:t>
      </w:r>
      <w:r w:rsidRPr="00372631">
        <w:rPr>
          <w:rFonts w:ascii="Verdana" w:hAnsi="Verdana"/>
        </w:rPr>
        <w:t>Variable</w:t>
      </w:r>
      <w:r>
        <w:rPr>
          <w:rFonts w:ascii="Verdana" w:hAnsi="Verdana"/>
        </w:rPr>
        <w:t xml:space="preserve"> </w:t>
      </w:r>
      <w:r w:rsidRPr="00372631">
        <w:rPr>
          <w:rFonts w:ascii="Verdana" w:hAnsi="Verdana"/>
          <w:vertAlign w:val="superscript"/>
        </w:rPr>
        <w:t>(*)</w:t>
      </w:r>
      <w:r w:rsidRPr="00372631">
        <w:rPr>
          <w:rFonts w:ascii="Verdana" w:hAnsi="Verdana"/>
        </w:rPr>
        <w:t xml:space="preserve"> y de la TAE: Comisión de apertura 0,75% del importe de préstamo + verificación registral+ tasación+ impuestos (calculados AJD MADRID 0,75 %, los AJD variaran en función de CCAA)+ Gestoría + Seguro que cubra los riesgos de daños e incendio de la vivienda que se hipoteca.</w:t>
      </w:r>
    </w:p>
    <w:p w:rsidR="0095053B" w:rsidRDefault="0095053B">
      <w:pPr>
        <w:rPr>
          <w:rFonts w:ascii="Verdana" w:hAnsi="Verdana"/>
          <w:b/>
        </w:rPr>
      </w:pPr>
    </w:p>
    <w:p w:rsidR="00FB3082" w:rsidRDefault="00FB3082" w:rsidP="006E4650">
      <w:pPr>
        <w:ind w:left="-426" w:right="-55"/>
        <w:jc w:val="both"/>
        <w:rPr>
          <w:rFonts w:ascii="Verdana" w:hAnsi="Verdana"/>
          <w:b/>
        </w:rPr>
      </w:pPr>
    </w:p>
    <w:p w:rsidR="00C33449" w:rsidRDefault="00C33449" w:rsidP="000669A9">
      <w:pPr>
        <w:ind w:left="-142" w:right="-55"/>
        <w:jc w:val="both"/>
        <w:rPr>
          <w:rFonts w:ascii="Verdana" w:hAnsi="Verdana"/>
          <w:b/>
        </w:rPr>
      </w:pPr>
    </w:p>
    <w:p w:rsidR="00C33449" w:rsidRDefault="003F2179" w:rsidP="003F2179">
      <w:pPr>
        <w:ind w:right="-55"/>
        <w:jc w:val="both"/>
        <w:rPr>
          <w:rFonts w:ascii="Verdana" w:hAnsi="Verdana"/>
          <w:b/>
        </w:rPr>
      </w:pPr>
      <w:bookmarkStart w:id="0" w:name="_GoBack"/>
      <w:bookmarkEnd w:id="0"/>
      <w:r w:rsidRPr="003F2179">
        <w:drawing>
          <wp:inline distT="0" distB="0" distL="0" distR="0" wp14:anchorId="01E720A7" wp14:editId="1ADC51AE">
            <wp:extent cx="5717131" cy="2556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7131" cy="2556000"/>
                    </a:xfrm>
                    <a:prstGeom prst="rect">
                      <a:avLst/>
                    </a:prstGeom>
                    <a:noFill/>
                    <a:ln>
                      <a:noFill/>
                    </a:ln>
                  </pic:spPr>
                </pic:pic>
              </a:graphicData>
            </a:graphic>
          </wp:inline>
        </w:drawing>
      </w:r>
    </w:p>
    <w:p w:rsidR="00E3381D" w:rsidRDefault="00E3381D" w:rsidP="007B4D15">
      <w:pPr>
        <w:ind w:left="-284"/>
        <w:rPr>
          <w:rFonts w:ascii="Verdana" w:hAnsi="Verdana"/>
          <w:b/>
          <w:sz w:val="18"/>
          <w:szCs w:val="18"/>
        </w:rPr>
      </w:pPr>
      <w:r>
        <w:rPr>
          <w:rFonts w:ascii="Verdana" w:hAnsi="Verdana"/>
          <w:b/>
          <w:sz w:val="18"/>
          <w:szCs w:val="18"/>
        </w:rPr>
        <w:br w:type="page"/>
      </w:r>
    </w:p>
    <w:p w:rsidR="00F7025D" w:rsidRDefault="003F2179" w:rsidP="003F2179">
      <w:pPr>
        <w:rPr>
          <w:rFonts w:ascii="Verdana" w:hAnsi="Verdana"/>
          <w:b/>
          <w:sz w:val="18"/>
          <w:szCs w:val="18"/>
        </w:rPr>
      </w:pPr>
      <w:r w:rsidRPr="003F2179">
        <w:drawing>
          <wp:inline distT="0" distB="0" distL="0" distR="0" wp14:anchorId="1B0EEAD5" wp14:editId="2653BE01">
            <wp:extent cx="5878177" cy="2628000"/>
            <wp:effectExtent l="0" t="0" r="889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8177" cy="2628000"/>
                    </a:xfrm>
                    <a:prstGeom prst="rect">
                      <a:avLst/>
                    </a:prstGeom>
                    <a:noFill/>
                    <a:ln>
                      <a:noFill/>
                    </a:ln>
                  </pic:spPr>
                </pic:pic>
              </a:graphicData>
            </a:graphic>
          </wp:inline>
        </w:drawing>
      </w:r>
    </w:p>
    <w:p w:rsidR="009702D2" w:rsidRDefault="009702D2" w:rsidP="009702D2">
      <w:pPr>
        <w:ind w:left="-426"/>
        <w:rPr>
          <w:rFonts w:ascii="Verdana" w:hAnsi="Verdana"/>
          <w:b/>
          <w:sz w:val="18"/>
          <w:szCs w:val="18"/>
        </w:rPr>
      </w:pPr>
    </w:p>
    <w:p w:rsidR="00434814" w:rsidRPr="00164A3B" w:rsidRDefault="00434814" w:rsidP="00E92C61">
      <w:pPr>
        <w:numPr>
          <w:ilvl w:val="0"/>
          <w:numId w:val="12"/>
        </w:numPr>
        <w:tabs>
          <w:tab w:val="clear" w:pos="2130"/>
        </w:tabs>
        <w:ind w:left="851" w:right="-55"/>
        <w:jc w:val="both"/>
        <w:rPr>
          <w:rFonts w:ascii="Verdana" w:hAnsi="Verdana"/>
          <w:b/>
          <w:sz w:val="18"/>
          <w:szCs w:val="18"/>
        </w:rPr>
      </w:pPr>
      <w:r w:rsidRPr="00164A3B">
        <w:rPr>
          <w:rFonts w:ascii="Verdana" w:hAnsi="Verdana"/>
          <w:b/>
          <w:sz w:val="18"/>
          <w:szCs w:val="18"/>
        </w:rPr>
        <w:t>El cálculo de la TAE Variable</w:t>
      </w:r>
      <w:r w:rsidRPr="00164A3B">
        <w:rPr>
          <w:rFonts w:ascii="Verdana" w:hAnsi="Verdana"/>
          <w:b/>
          <w:sz w:val="18"/>
          <w:szCs w:val="18"/>
          <w:vertAlign w:val="superscript"/>
        </w:rPr>
        <w:t>(*)</w:t>
      </w:r>
      <w:r w:rsidRPr="00164A3B">
        <w:rPr>
          <w:rFonts w:ascii="Verdana" w:hAnsi="Verdana"/>
          <w:b/>
          <w:sz w:val="18"/>
          <w:szCs w:val="18"/>
        </w:rPr>
        <w:t>, de la TAE y del coste total del préstamo se basan en los siguientes supuestos:</w:t>
      </w:r>
    </w:p>
    <w:p w:rsidR="00434814" w:rsidRPr="00034CDD" w:rsidRDefault="00434814" w:rsidP="008760B6">
      <w:pPr>
        <w:ind w:left="360" w:right="-55"/>
        <w:jc w:val="both"/>
        <w:rPr>
          <w:rFonts w:ascii="Verdana" w:hAnsi="Verdana"/>
        </w:rPr>
      </w:pPr>
    </w:p>
    <w:p w:rsidR="00434814" w:rsidRPr="00BC5A3D" w:rsidRDefault="00434814" w:rsidP="00B2009E">
      <w:pPr>
        <w:numPr>
          <w:ilvl w:val="1"/>
          <w:numId w:val="3"/>
        </w:numPr>
        <w:tabs>
          <w:tab w:val="clear" w:pos="910"/>
        </w:tabs>
        <w:spacing w:before="240"/>
        <w:ind w:left="1080" w:right="-57" w:hanging="513"/>
        <w:jc w:val="both"/>
        <w:rPr>
          <w:rFonts w:ascii="Verdana" w:hAnsi="Verdana"/>
          <w:sz w:val="18"/>
          <w:szCs w:val="18"/>
        </w:rPr>
      </w:pPr>
      <w:r w:rsidRPr="00BC5A3D">
        <w:rPr>
          <w:rFonts w:ascii="Verdana" w:hAnsi="Verdana"/>
          <w:sz w:val="18"/>
          <w:szCs w:val="18"/>
        </w:rPr>
        <w:t>Capital del préstamo: 1</w:t>
      </w:r>
      <w:r w:rsidR="00FA40AE" w:rsidRPr="00BC5A3D">
        <w:rPr>
          <w:rFonts w:ascii="Verdana" w:hAnsi="Verdana"/>
          <w:sz w:val="18"/>
          <w:szCs w:val="18"/>
        </w:rPr>
        <w:t>5</w:t>
      </w:r>
      <w:r w:rsidRPr="00BC5A3D">
        <w:rPr>
          <w:rFonts w:ascii="Verdana" w:hAnsi="Verdana"/>
          <w:sz w:val="18"/>
          <w:szCs w:val="18"/>
        </w:rPr>
        <w:t>0.000,00 euros</w:t>
      </w:r>
    </w:p>
    <w:p w:rsidR="00533DF4" w:rsidRDefault="00434814" w:rsidP="00B2009E">
      <w:pPr>
        <w:numPr>
          <w:ilvl w:val="1"/>
          <w:numId w:val="3"/>
        </w:numPr>
        <w:tabs>
          <w:tab w:val="clear" w:pos="910"/>
        </w:tabs>
        <w:spacing w:before="240"/>
        <w:ind w:left="1080" w:right="-57" w:hanging="513"/>
        <w:jc w:val="both"/>
        <w:rPr>
          <w:rFonts w:ascii="Verdana" w:hAnsi="Verdana"/>
          <w:sz w:val="18"/>
          <w:szCs w:val="18"/>
        </w:rPr>
      </w:pPr>
      <w:r w:rsidRPr="00533DF4">
        <w:rPr>
          <w:rFonts w:ascii="Verdana" w:hAnsi="Verdana"/>
          <w:sz w:val="18"/>
          <w:szCs w:val="18"/>
        </w:rPr>
        <w:t>Tipo de Interés primer periodo</w:t>
      </w:r>
    </w:p>
    <w:p w:rsidR="002265A6" w:rsidRPr="00533DF4" w:rsidRDefault="000E1492" w:rsidP="00B2009E">
      <w:pPr>
        <w:numPr>
          <w:ilvl w:val="1"/>
          <w:numId w:val="3"/>
        </w:numPr>
        <w:tabs>
          <w:tab w:val="clear" w:pos="910"/>
        </w:tabs>
        <w:spacing w:before="240"/>
        <w:ind w:left="1080" w:right="-57" w:hanging="513"/>
        <w:jc w:val="both"/>
        <w:rPr>
          <w:rFonts w:ascii="Verdana" w:hAnsi="Verdana"/>
          <w:sz w:val="18"/>
          <w:szCs w:val="18"/>
        </w:rPr>
      </w:pPr>
      <w:r w:rsidRPr="00533DF4">
        <w:rPr>
          <w:rFonts w:ascii="Verdana" w:hAnsi="Verdana"/>
          <w:sz w:val="18"/>
          <w:szCs w:val="18"/>
        </w:rPr>
        <w:t xml:space="preserve">Tipo de </w:t>
      </w:r>
      <w:r w:rsidR="004519FD" w:rsidRPr="00533DF4">
        <w:rPr>
          <w:rFonts w:ascii="Verdana" w:hAnsi="Verdana"/>
          <w:sz w:val="18"/>
          <w:szCs w:val="18"/>
        </w:rPr>
        <w:t>Inter</w:t>
      </w:r>
      <w:r w:rsidR="00360140" w:rsidRPr="00533DF4">
        <w:rPr>
          <w:rFonts w:ascii="Verdana" w:hAnsi="Verdana"/>
          <w:sz w:val="18"/>
          <w:szCs w:val="18"/>
        </w:rPr>
        <w:t>és del segundo periodo</w:t>
      </w:r>
      <w:r w:rsidR="00072DC0" w:rsidRPr="00533DF4">
        <w:rPr>
          <w:rFonts w:ascii="Verdana" w:hAnsi="Verdana"/>
          <w:sz w:val="18"/>
          <w:szCs w:val="18"/>
        </w:rPr>
        <w:t xml:space="preserve"> y sucesivos</w:t>
      </w:r>
      <w:r w:rsidR="00533DF4" w:rsidRPr="00533DF4">
        <w:rPr>
          <w:rFonts w:ascii="Verdana" w:hAnsi="Verdana"/>
          <w:sz w:val="18"/>
          <w:szCs w:val="18"/>
        </w:rPr>
        <w:t xml:space="preserve"> en modalidad</w:t>
      </w:r>
      <w:r w:rsidR="008C52B9">
        <w:rPr>
          <w:rFonts w:ascii="Verdana" w:hAnsi="Verdana"/>
          <w:sz w:val="18"/>
          <w:szCs w:val="18"/>
        </w:rPr>
        <w:t>es</w:t>
      </w:r>
      <w:r w:rsidR="00533DF4" w:rsidRPr="00533DF4">
        <w:rPr>
          <w:rFonts w:ascii="Verdana" w:hAnsi="Verdana"/>
          <w:sz w:val="18"/>
          <w:szCs w:val="18"/>
        </w:rPr>
        <w:t xml:space="preserve"> variables</w:t>
      </w:r>
      <w:r w:rsidR="00FD0DB9" w:rsidRPr="00533DF4">
        <w:rPr>
          <w:rFonts w:ascii="Verdana" w:hAnsi="Verdana"/>
          <w:sz w:val="18"/>
          <w:szCs w:val="18"/>
        </w:rPr>
        <w:t>: diferencial +</w:t>
      </w:r>
      <w:r w:rsidR="00360140" w:rsidRPr="00533DF4">
        <w:rPr>
          <w:rFonts w:ascii="Verdana" w:hAnsi="Verdana"/>
          <w:sz w:val="18"/>
          <w:szCs w:val="18"/>
        </w:rPr>
        <w:t xml:space="preserve"> </w:t>
      </w:r>
      <w:r w:rsidR="00072DC0" w:rsidRPr="00533DF4">
        <w:rPr>
          <w:rFonts w:ascii="Verdana" w:hAnsi="Verdana"/>
          <w:sz w:val="18"/>
          <w:szCs w:val="18"/>
        </w:rPr>
        <w:t>Euribor</w:t>
      </w:r>
      <w:r w:rsidR="00360140" w:rsidRPr="00533DF4">
        <w:rPr>
          <w:rFonts w:ascii="Verdana" w:hAnsi="Verdana"/>
          <w:sz w:val="18"/>
          <w:szCs w:val="18"/>
        </w:rPr>
        <w:t xml:space="preserve"> publicado BOE</w:t>
      </w:r>
      <w:r w:rsidR="00072DC0" w:rsidRPr="00533DF4">
        <w:rPr>
          <w:rFonts w:ascii="Verdana" w:hAnsi="Verdana"/>
          <w:sz w:val="18"/>
          <w:szCs w:val="18"/>
        </w:rPr>
        <w:t xml:space="preserve"> 0</w:t>
      </w:r>
      <w:r w:rsidR="000669A9">
        <w:rPr>
          <w:rFonts w:ascii="Verdana" w:hAnsi="Verdana"/>
          <w:sz w:val="18"/>
          <w:szCs w:val="18"/>
        </w:rPr>
        <w:t>4</w:t>
      </w:r>
      <w:r w:rsidR="00072DC0" w:rsidRPr="00533DF4">
        <w:rPr>
          <w:rFonts w:ascii="Verdana" w:hAnsi="Verdana"/>
          <w:sz w:val="18"/>
          <w:szCs w:val="18"/>
        </w:rPr>
        <w:t>-</w:t>
      </w:r>
      <w:r w:rsidR="004D2FFB">
        <w:rPr>
          <w:rFonts w:ascii="Verdana" w:hAnsi="Verdana"/>
          <w:sz w:val="18"/>
          <w:szCs w:val="18"/>
        </w:rPr>
        <w:t>0</w:t>
      </w:r>
      <w:r w:rsidR="000669A9">
        <w:rPr>
          <w:rFonts w:ascii="Verdana" w:hAnsi="Verdana"/>
          <w:sz w:val="18"/>
          <w:szCs w:val="18"/>
        </w:rPr>
        <w:t>5</w:t>
      </w:r>
      <w:r w:rsidR="00072DC0" w:rsidRPr="00533DF4">
        <w:rPr>
          <w:rFonts w:ascii="Verdana" w:hAnsi="Verdana"/>
          <w:sz w:val="18"/>
          <w:szCs w:val="18"/>
        </w:rPr>
        <w:t>-201</w:t>
      </w:r>
      <w:r w:rsidR="004D2FFB">
        <w:rPr>
          <w:rFonts w:ascii="Verdana" w:hAnsi="Verdana"/>
          <w:sz w:val="18"/>
          <w:szCs w:val="18"/>
        </w:rPr>
        <w:t>8</w:t>
      </w:r>
      <w:r w:rsidR="00072DC0" w:rsidRPr="00533DF4">
        <w:rPr>
          <w:rFonts w:ascii="Verdana" w:hAnsi="Verdana"/>
          <w:sz w:val="18"/>
          <w:szCs w:val="18"/>
        </w:rPr>
        <w:t xml:space="preserve"> (-0,1</w:t>
      </w:r>
      <w:r w:rsidR="004D2FFB">
        <w:rPr>
          <w:rFonts w:ascii="Verdana" w:hAnsi="Verdana"/>
          <w:sz w:val="18"/>
          <w:szCs w:val="18"/>
        </w:rPr>
        <w:t>9</w:t>
      </w:r>
      <w:r w:rsidR="000669A9">
        <w:rPr>
          <w:rFonts w:ascii="Verdana" w:hAnsi="Verdana"/>
          <w:sz w:val="18"/>
          <w:szCs w:val="18"/>
        </w:rPr>
        <w:t>0</w:t>
      </w:r>
      <w:r w:rsidR="00072DC0" w:rsidRPr="00533DF4">
        <w:rPr>
          <w:rFonts w:ascii="Verdana" w:hAnsi="Verdana"/>
          <w:sz w:val="18"/>
          <w:szCs w:val="18"/>
        </w:rPr>
        <w:t>).</w:t>
      </w:r>
    </w:p>
    <w:p w:rsidR="00434814" w:rsidRPr="00BC5A3D" w:rsidRDefault="00533DF4" w:rsidP="00B2009E">
      <w:pPr>
        <w:numPr>
          <w:ilvl w:val="1"/>
          <w:numId w:val="3"/>
        </w:numPr>
        <w:tabs>
          <w:tab w:val="clear" w:pos="910"/>
        </w:tabs>
        <w:spacing w:before="240"/>
        <w:ind w:left="1080" w:right="-57" w:hanging="513"/>
        <w:jc w:val="both"/>
        <w:rPr>
          <w:rFonts w:ascii="Verdana" w:hAnsi="Verdana"/>
          <w:sz w:val="18"/>
          <w:szCs w:val="18"/>
        </w:rPr>
      </w:pPr>
      <w:r>
        <w:rPr>
          <w:rFonts w:ascii="Verdana" w:hAnsi="Verdana"/>
          <w:sz w:val="18"/>
          <w:szCs w:val="18"/>
        </w:rPr>
        <w:t>Comisión de apertura</w:t>
      </w:r>
    </w:p>
    <w:p w:rsidR="00434814" w:rsidRPr="00BC5A3D" w:rsidRDefault="00434814" w:rsidP="00B2009E">
      <w:pPr>
        <w:numPr>
          <w:ilvl w:val="1"/>
          <w:numId w:val="3"/>
        </w:numPr>
        <w:tabs>
          <w:tab w:val="clear" w:pos="910"/>
        </w:tabs>
        <w:spacing w:before="240"/>
        <w:ind w:left="1080" w:right="-57" w:hanging="513"/>
        <w:jc w:val="both"/>
        <w:rPr>
          <w:rFonts w:ascii="Verdana" w:hAnsi="Verdana"/>
          <w:sz w:val="18"/>
          <w:szCs w:val="18"/>
        </w:rPr>
      </w:pPr>
      <w:r w:rsidRPr="00BC5A3D">
        <w:rPr>
          <w:rFonts w:ascii="Verdana" w:hAnsi="Verdana"/>
          <w:sz w:val="18"/>
          <w:szCs w:val="18"/>
        </w:rPr>
        <w:t>Plazo total de amortización: plazo máximo para cada operación de préstamo hipotecario</w:t>
      </w:r>
      <w:r w:rsidR="00533DF4">
        <w:rPr>
          <w:rFonts w:ascii="Verdana" w:hAnsi="Verdana"/>
          <w:sz w:val="18"/>
          <w:szCs w:val="18"/>
        </w:rPr>
        <w:t>.</w:t>
      </w:r>
    </w:p>
    <w:p w:rsidR="00434814" w:rsidRPr="00BC5A3D" w:rsidRDefault="00434814" w:rsidP="00B2009E">
      <w:pPr>
        <w:numPr>
          <w:ilvl w:val="1"/>
          <w:numId w:val="3"/>
        </w:numPr>
        <w:tabs>
          <w:tab w:val="clear" w:pos="910"/>
        </w:tabs>
        <w:spacing w:before="240"/>
        <w:ind w:left="1080" w:right="-57" w:hanging="513"/>
        <w:jc w:val="both"/>
        <w:rPr>
          <w:rFonts w:ascii="Verdana" w:hAnsi="Verdana"/>
          <w:sz w:val="18"/>
          <w:szCs w:val="18"/>
        </w:rPr>
      </w:pPr>
      <w:r w:rsidRPr="00BC5A3D">
        <w:rPr>
          <w:rFonts w:ascii="Verdana" w:hAnsi="Verdana"/>
          <w:sz w:val="18"/>
          <w:szCs w:val="18"/>
        </w:rPr>
        <w:t xml:space="preserve">Verificación registral </w:t>
      </w:r>
      <w:r w:rsidR="00FC3D0E">
        <w:rPr>
          <w:rFonts w:ascii="Verdana" w:hAnsi="Verdana"/>
          <w:sz w:val="18"/>
          <w:szCs w:val="18"/>
        </w:rPr>
        <w:t>18</w:t>
      </w:r>
      <w:r w:rsidRPr="00BC5A3D">
        <w:rPr>
          <w:rFonts w:ascii="Verdana" w:hAnsi="Verdana"/>
          <w:sz w:val="18"/>
          <w:szCs w:val="18"/>
        </w:rPr>
        <w:t>,</w:t>
      </w:r>
      <w:r w:rsidR="00FC3D0E">
        <w:rPr>
          <w:rFonts w:ascii="Verdana" w:hAnsi="Verdana"/>
          <w:sz w:val="18"/>
          <w:szCs w:val="18"/>
        </w:rPr>
        <w:t>1</w:t>
      </w:r>
      <w:r w:rsidRPr="00BC5A3D">
        <w:rPr>
          <w:rFonts w:ascii="Verdana" w:hAnsi="Verdana"/>
          <w:sz w:val="18"/>
          <w:szCs w:val="18"/>
        </w:rPr>
        <w:t xml:space="preserve">5 euros (1 finca registral) </w:t>
      </w:r>
    </w:p>
    <w:p w:rsidR="00434814" w:rsidRPr="00BC5A3D" w:rsidRDefault="00434814" w:rsidP="00B2009E">
      <w:pPr>
        <w:numPr>
          <w:ilvl w:val="1"/>
          <w:numId w:val="3"/>
        </w:numPr>
        <w:tabs>
          <w:tab w:val="clear" w:pos="910"/>
        </w:tabs>
        <w:spacing w:before="240"/>
        <w:ind w:left="1080" w:right="-57" w:hanging="513"/>
        <w:jc w:val="both"/>
        <w:rPr>
          <w:rFonts w:ascii="Verdana" w:hAnsi="Verdana"/>
          <w:sz w:val="18"/>
          <w:szCs w:val="18"/>
        </w:rPr>
      </w:pPr>
      <w:r w:rsidRPr="00BC5A3D">
        <w:rPr>
          <w:rFonts w:ascii="Verdana" w:hAnsi="Verdana"/>
          <w:sz w:val="18"/>
          <w:szCs w:val="18"/>
        </w:rPr>
        <w:t xml:space="preserve">Tasación del inmueble 266,20 euros (por un valor de tasación de </w:t>
      </w:r>
      <w:r w:rsidR="00D65746" w:rsidRPr="00BC5A3D">
        <w:rPr>
          <w:rFonts w:ascii="Verdana" w:hAnsi="Verdana"/>
          <w:sz w:val="18"/>
          <w:szCs w:val="18"/>
        </w:rPr>
        <w:t>hasta 3</w:t>
      </w:r>
      <w:r w:rsidRPr="00BC5A3D">
        <w:rPr>
          <w:rFonts w:ascii="Verdana" w:hAnsi="Verdana"/>
          <w:sz w:val="18"/>
          <w:szCs w:val="18"/>
        </w:rPr>
        <w:t>00.000,00 euros)</w:t>
      </w:r>
    </w:p>
    <w:p w:rsidR="00434814" w:rsidRPr="00BC5A3D" w:rsidRDefault="00434814" w:rsidP="00B2009E">
      <w:pPr>
        <w:numPr>
          <w:ilvl w:val="1"/>
          <w:numId w:val="3"/>
        </w:numPr>
        <w:tabs>
          <w:tab w:val="clear" w:pos="910"/>
        </w:tabs>
        <w:spacing w:before="240"/>
        <w:ind w:left="1080" w:right="-57" w:hanging="513"/>
        <w:jc w:val="both"/>
        <w:rPr>
          <w:rFonts w:ascii="Verdana" w:hAnsi="Verdana"/>
          <w:sz w:val="18"/>
          <w:szCs w:val="18"/>
        </w:rPr>
      </w:pPr>
      <w:r w:rsidRPr="00BC5A3D">
        <w:rPr>
          <w:rFonts w:ascii="Verdana" w:hAnsi="Verdana"/>
          <w:sz w:val="18"/>
          <w:szCs w:val="18"/>
        </w:rPr>
        <w:t>Actos Jurídicos Documentados</w:t>
      </w:r>
      <w:r w:rsidRPr="00D91ECC">
        <w:rPr>
          <w:rFonts w:ascii="Verdana" w:hAnsi="Verdana"/>
          <w:sz w:val="18"/>
          <w:szCs w:val="18"/>
        </w:rPr>
        <w:t xml:space="preserve">: </w:t>
      </w:r>
      <w:r w:rsidRPr="00976DD9">
        <w:rPr>
          <w:rFonts w:ascii="Verdana" w:hAnsi="Verdana"/>
          <w:sz w:val="18"/>
          <w:szCs w:val="18"/>
        </w:rPr>
        <w:t>1.</w:t>
      </w:r>
      <w:r w:rsidR="00D91ECC" w:rsidRPr="00976DD9">
        <w:rPr>
          <w:rFonts w:ascii="Verdana" w:hAnsi="Verdana"/>
          <w:sz w:val="18"/>
          <w:szCs w:val="18"/>
        </w:rPr>
        <w:t>462,50</w:t>
      </w:r>
      <w:r w:rsidRPr="00976DD9">
        <w:rPr>
          <w:rFonts w:ascii="Verdana" w:hAnsi="Verdana"/>
          <w:sz w:val="18"/>
          <w:szCs w:val="18"/>
        </w:rPr>
        <w:t xml:space="preserve"> euros</w:t>
      </w:r>
      <w:r w:rsidRPr="00BC5A3D">
        <w:rPr>
          <w:rFonts w:ascii="Verdana" w:hAnsi="Verdana"/>
          <w:sz w:val="18"/>
          <w:szCs w:val="18"/>
        </w:rPr>
        <w:t xml:space="preserve"> (calculados AJD MADRID 0,75 % sobre base </w:t>
      </w:r>
      <w:r w:rsidR="00716197">
        <w:rPr>
          <w:rFonts w:ascii="Verdana" w:hAnsi="Verdana"/>
          <w:sz w:val="18"/>
          <w:szCs w:val="18"/>
        </w:rPr>
        <w:t>195</w:t>
      </w:r>
      <w:r w:rsidRPr="00BC5A3D">
        <w:rPr>
          <w:rFonts w:ascii="Verdana" w:hAnsi="Verdana"/>
          <w:sz w:val="18"/>
          <w:szCs w:val="18"/>
        </w:rPr>
        <w:t>.000 euros, los AJD variaran en función de CCAA)</w:t>
      </w:r>
    </w:p>
    <w:p w:rsidR="00232B37" w:rsidRDefault="00434814" w:rsidP="00B2009E">
      <w:pPr>
        <w:numPr>
          <w:ilvl w:val="1"/>
          <w:numId w:val="3"/>
        </w:numPr>
        <w:tabs>
          <w:tab w:val="clear" w:pos="910"/>
        </w:tabs>
        <w:spacing w:before="240"/>
        <w:ind w:left="1080" w:right="-57" w:hanging="513"/>
        <w:jc w:val="both"/>
        <w:rPr>
          <w:rFonts w:ascii="Verdana" w:hAnsi="Verdana"/>
          <w:sz w:val="18"/>
          <w:szCs w:val="18"/>
        </w:rPr>
      </w:pPr>
      <w:r w:rsidRPr="00BC5A3D">
        <w:rPr>
          <w:rFonts w:ascii="Verdana" w:hAnsi="Verdana"/>
          <w:sz w:val="18"/>
          <w:szCs w:val="18"/>
        </w:rPr>
        <w:t>Gestoría</w:t>
      </w:r>
      <w:r w:rsidR="00232B37" w:rsidRPr="00BC5A3D">
        <w:rPr>
          <w:rFonts w:ascii="Verdana" w:hAnsi="Verdana"/>
          <w:sz w:val="18"/>
          <w:szCs w:val="18"/>
        </w:rPr>
        <w:t>:</w:t>
      </w:r>
      <w:r w:rsidRPr="00BC5A3D">
        <w:rPr>
          <w:rFonts w:ascii="Verdana" w:hAnsi="Verdana"/>
          <w:sz w:val="18"/>
          <w:szCs w:val="18"/>
        </w:rPr>
        <w:t xml:space="preserve"> </w:t>
      </w:r>
      <w:r w:rsidR="00232B37" w:rsidRPr="00BC5A3D">
        <w:rPr>
          <w:rFonts w:ascii="Verdana" w:hAnsi="Verdana"/>
          <w:sz w:val="18"/>
          <w:szCs w:val="18"/>
        </w:rPr>
        <w:t>256</w:t>
      </w:r>
      <w:r w:rsidRPr="00BC5A3D">
        <w:rPr>
          <w:rFonts w:ascii="Verdana" w:hAnsi="Verdana"/>
          <w:sz w:val="18"/>
          <w:szCs w:val="18"/>
        </w:rPr>
        <w:t>,00 euros</w:t>
      </w:r>
      <w:r w:rsidR="00232B37" w:rsidRPr="00BC5A3D">
        <w:rPr>
          <w:rFonts w:ascii="Verdana" w:hAnsi="Verdana"/>
          <w:sz w:val="18"/>
          <w:szCs w:val="18"/>
        </w:rPr>
        <w:t xml:space="preserve"> (producidos por la tramitación de la presentación de los impuestos ante la Administración Tributaria)</w:t>
      </w:r>
      <w:r w:rsidR="00BA6708">
        <w:rPr>
          <w:rFonts w:ascii="Verdana" w:hAnsi="Verdana"/>
          <w:sz w:val="18"/>
          <w:szCs w:val="18"/>
        </w:rPr>
        <w:t>.</w:t>
      </w:r>
    </w:p>
    <w:p w:rsidR="00BA6708" w:rsidRPr="00BC5A3D" w:rsidRDefault="00BA6708" w:rsidP="00BA6708">
      <w:pPr>
        <w:spacing w:before="240"/>
        <w:ind w:left="1080" w:right="-57"/>
        <w:jc w:val="both"/>
        <w:rPr>
          <w:rFonts w:ascii="Verdana" w:hAnsi="Verdana"/>
          <w:sz w:val="18"/>
          <w:szCs w:val="18"/>
        </w:rPr>
      </w:pPr>
    </w:p>
    <w:p w:rsidR="006E3DEC" w:rsidRDefault="006E3DEC" w:rsidP="006E3DEC">
      <w:pPr>
        <w:ind w:left="1080" w:right="-57"/>
        <w:jc w:val="both"/>
        <w:rPr>
          <w:rFonts w:ascii="Verdana" w:hAnsi="Verdana"/>
          <w:sz w:val="18"/>
          <w:szCs w:val="18"/>
        </w:rPr>
      </w:pPr>
    </w:p>
    <w:p w:rsidR="00145C6C" w:rsidRPr="006E3DEC" w:rsidRDefault="00C33449" w:rsidP="006E3DEC">
      <w:pPr>
        <w:ind w:left="567" w:right="-57"/>
        <w:jc w:val="both"/>
        <w:rPr>
          <w:rFonts w:ascii="Verdana" w:hAnsi="Verdana"/>
          <w:b/>
          <w:sz w:val="18"/>
          <w:szCs w:val="18"/>
        </w:rPr>
      </w:pPr>
      <w:r w:rsidRPr="006E3DEC">
        <w:rPr>
          <w:rFonts w:ascii="Verdana" w:hAnsi="Verdana"/>
          <w:b/>
          <w:sz w:val="18"/>
          <w:szCs w:val="18"/>
        </w:rPr>
        <w:t>Supuestos sin bonificaciones por productos asociados</w:t>
      </w:r>
    </w:p>
    <w:p w:rsidR="00745951" w:rsidRPr="00BC5A3D" w:rsidRDefault="00745951" w:rsidP="00145C6C">
      <w:pPr>
        <w:ind w:left="1080" w:right="-57"/>
        <w:jc w:val="both"/>
        <w:rPr>
          <w:rFonts w:ascii="Verdana" w:hAnsi="Verdana"/>
          <w:sz w:val="18"/>
          <w:szCs w:val="18"/>
        </w:rPr>
      </w:pPr>
    </w:p>
    <w:p w:rsidR="00103371" w:rsidRDefault="00434814" w:rsidP="00BC5A3D">
      <w:pPr>
        <w:numPr>
          <w:ilvl w:val="1"/>
          <w:numId w:val="3"/>
        </w:numPr>
        <w:tabs>
          <w:tab w:val="clear" w:pos="910"/>
        </w:tabs>
        <w:ind w:left="1080" w:right="-57" w:hanging="513"/>
        <w:jc w:val="both"/>
        <w:rPr>
          <w:rFonts w:ascii="Verdana" w:hAnsi="Verdana"/>
          <w:sz w:val="18"/>
          <w:szCs w:val="18"/>
        </w:rPr>
      </w:pPr>
      <w:r w:rsidRPr="00BC5A3D">
        <w:rPr>
          <w:rFonts w:ascii="Verdana" w:hAnsi="Verdana"/>
          <w:sz w:val="18"/>
          <w:szCs w:val="18"/>
        </w:rPr>
        <w:t>Se incluye un seguro de hogar básico calculado para una vivienda media en núcleo urbano con prima anual de 240 €/año (coste orientativo y sin que suponga vinculación alguna para la Entidad). Según la normativa vigente</w:t>
      </w:r>
      <w:r w:rsidRPr="00BC5A3D">
        <w:rPr>
          <w:rFonts w:ascii="Verdana" w:hAnsi="Verdana"/>
          <w:b/>
          <w:sz w:val="18"/>
          <w:szCs w:val="18"/>
        </w:rPr>
        <w:t xml:space="preserve"> </w:t>
      </w:r>
      <w:r w:rsidRPr="00BC5A3D">
        <w:rPr>
          <w:rFonts w:ascii="Verdana" w:hAnsi="Verdana"/>
          <w:sz w:val="18"/>
          <w:szCs w:val="18"/>
        </w:rPr>
        <w:t>el solicitante ha de tener contratado y en vigor durante toda la vida del préstamo un seguro que cubra los riesgos de daños e incendio de la vivienda que se hipoteca, debiendo notificarse al asegurador la existencia del préstamo hipotecario y siendo la Entidad beneficiaria de la indemnización correspondiente en caso de siniestro</w:t>
      </w:r>
      <w:r w:rsidR="00145C6C">
        <w:rPr>
          <w:rFonts w:ascii="Verdana" w:hAnsi="Verdana"/>
          <w:sz w:val="18"/>
          <w:szCs w:val="18"/>
        </w:rPr>
        <w:t>.</w:t>
      </w:r>
    </w:p>
    <w:p w:rsidR="00434814" w:rsidRDefault="00434814" w:rsidP="003F7D17">
      <w:pPr>
        <w:ind w:left="1080" w:right="-57"/>
        <w:jc w:val="both"/>
        <w:rPr>
          <w:rFonts w:ascii="Verdana" w:hAnsi="Verdana"/>
          <w:sz w:val="18"/>
          <w:szCs w:val="18"/>
        </w:rPr>
      </w:pPr>
    </w:p>
    <w:p w:rsidR="006E3DEC" w:rsidRDefault="006E3DEC" w:rsidP="006E3DEC">
      <w:pPr>
        <w:ind w:left="1080" w:right="-57"/>
        <w:jc w:val="both"/>
        <w:rPr>
          <w:rFonts w:ascii="Verdana" w:hAnsi="Verdana"/>
          <w:sz w:val="18"/>
          <w:szCs w:val="18"/>
        </w:rPr>
      </w:pPr>
    </w:p>
    <w:p w:rsidR="006E3DEC" w:rsidRPr="006E3DEC" w:rsidRDefault="006E3DEC" w:rsidP="006E3DEC">
      <w:pPr>
        <w:ind w:left="567" w:right="-57"/>
        <w:jc w:val="both"/>
        <w:rPr>
          <w:rFonts w:ascii="Verdana" w:hAnsi="Verdana"/>
          <w:b/>
          <w:sz w:val="18"/>
          <w:szCs w:val="18"/>
        </w:rPr>
      </w:pPr>
      <w:r w:rsidRPr="006E3DEC">
        <w:rPr>
          <w:rFonts w:ascii="Verdana" w:hAnsi="Verdana"/>
          <w:b/>
          <w:sz w:val="18"/>
          <w:szCs w:val="18"/>
        </w:rPr>
        <w:t xml:space="preserve">Supuestos </w:t>
      </w:r>
      <w:r w:rsidR="00661EFC">
        <w:rPr>
          <w:rFonts w:ascii="Verdana" w:hAnsi="Verdana"/>
          <w:b/>
          <w:sz w:val="18"/>
          <w:szCs w:val="18"/>
        </w:rPr>
        <w:t>con</w:t>
      </w:r>
      <w:r w:rsidRPr="006E3DEC">
        <w:rPr>
          <w:rFonts w:ascii="Verdana" w:hAnsi="Verdana"/>
          <w:b/>
          <w:sz w:val="18"/>
          <w:szCs w:val="18"/>
        </w:rPr>
        <w:t xml:space="preserve"> bonificaciones</w:t>
      </w:r>
      <w:r w:rsidR="002F10B2">
        <w:rPr>
          <w:rFonts w:ascii="Verdana" w:hAnsi="Verdana"/>
          <w:b/>
          <w:sz w:val="18"/>
          <w:szCs w:val="18"/>
        </w:rPr>
        <w:t xml:space="preserve"> máximas</w:t>
      </w:r>
      <w:r w:rsidRPr="006E3DEC">
        <w:rPr>
          <w:rFonts w:ascii="Verdana" w:hAnsi="Verdana"/>
          <w:b/>
          <w:sz w:val="18"/>
          <w:szCs w:val="18"/>
        </w:rPr>
        <w:t xml:space="preserve"> por productos asociados</w:t>
      </w:r>
    </w:p>
    <w:p w:rsidR="00145C6C" w:rsidRDefault="00145C6C" w:rsidP="00145C6C">
      <w:pPr>
        <w:ind w:left="1080" w:right="-57"/>
        <w:jc w:val="both"/>
        <w:rPr>
          <w:rFonts w:ascii="Verdana" w:hAnsi="Verdana"/>
          <w:sz w:val="18"/>
          <w:szCs w:val="18"/>
        </w:rPr>
      </w:pPr>
    </w:p>
    <w:p w:rsidR="00145C6C" w:rsidRDefault="00D91ECC" w:rsidP="00976DD9">
      <w:pPr>
        <w:ind w:left="710" w:right="-57"/>
        <w:jc w:val="both"/>
        <w:rPr>
          <w:rFonts w:ascii="Verdana" w:hAnsi="Verdana"/>
          <w:sz w:val="18"/>
          <w:szCs w:val="18"/>
        </w:rPr>
      </w:pPr>
      <w:r>
        <w:rPr>
          <w:rFonts w:ascii="Verdana" w:hAnsi="Verdana"/>
          <w:sz w:val="18"/>
          <w:szCs w:val="18"/>
        </w:rPr>
        <w:t xml:space="preserve">11. </w:t>
      </w:r>
      <w:r w:rsidR="004B6B44">
        <w:rPr>
          <w:rFonts w:ascii="Verdana" w:hAnsi="Verdana"/>
          <w:sz w:val="18"/>
          <w:szCs w:val="18"/>
        </w:rPr>
        <w:t xml:space="preserve"> </w:t>
      </w:r>
      <w:r w:rsidR="00145C6C" w:rsidRPr="00145C6C">
        <w:rPr>
          <w:rFonts w:ascii="Verdana" w:hAnsi="Verdana"/>
          <w:sz w:val="18"/>
          <w:szCs w:val="18"/>
        </w:rPr>
        <w:t>Se incluyen los siguientes seguros:</w:t>
      </w:r>
    </w:p>
    <w:p w:rsidR="00C33449" w:rsidRPr="00145C6C" w:rsidRDefault="00C33449" w:rsidP="00C33449">
      <w:pPr>
        <w:ind w:left="1010" w:right="-57"/>
        <w:jc w:val="both"/>
        <w:rPr>
          <w:rFonts w:ascii="Verdana" w:hAnsi="Verdana"/>
          <w:sz w:val="18"/>
          <w:szCs w:val="18"/>
        </w:rPr>
      </w:pPr>
    </w:p>
    <w:p w:rsidR="00145C6C" w:rsidRPr="00145C6C" w:rsidRDefault="00145C6C" w:rsidP="00145C6C">
      <w:pPr>
        <w:numPr>
          <w:ilvl w:val="2"/>
          <w:numId w:val="3"/>
        </w:numPr>
        <w:tabs>
          <w:tab w:val="clear" w:pos="2160"/>
        </w:tabs>
        <w:ind w:left="1418" w:right="-57"/>
        <w:jc w:val="both"/>
        <w:rPr>
          <w:rFonts w:ascii="Verdana" w:hAnsi="Verdana"/>
          <w:sz w:val="18"/>
          <w:szCs w:val="18"/>
        </w:rPr>
      </w:pPr>
      <w:r w:rsidRPr="00145C6C">
        <w:rPr>
          <w:rFonts w:ascii="Verdana" w:hAnsi="Verdana"/>
          <w:sz w:val="18"/>
          <w:szCs w:val="18"/>
        </w:rPr>
        <w:t>Seguro de Protección de pagos : 1.597.11 € prima única y con una vigencia de 5 años)</w:t>
      </w:r>
    </w:p>
    <w:p w:rsidR="00145C6C" w:rsidRPr="00145C6C" w:rsidRDefault="00145C6C" w:rsidP="00145C6C">
      <w:pPr>
        <w:numPr>
          <w:ilvl w:val="2"/>
          <w:numId w:val="3"/>
        </w:numPr>
        <w:tabs>
          <w:tab w:val="clear" w:pos="2160"/>
        </w:tabs>
        <w:ind w:left="1418" w:right="-57"/>
        <w:jc w:val="both"/>
        <w:rPr>
          <w:rFonts w:ascii="Verdana" w:hAnsi="Verdana"/>
          <w:sz w:val="18"/>
          <w:szCs w:val="18"/>
        </w:rPr>
      </w:pPr>
      <w:r w:rsidRPr="00145C6C">
        <w:rPr>
          <w:rFonts w:ascii="Verdana" w:hAnsi="Verdana"/>
          <w:sz w:val="18"/>
          <w:szCs w:val="18"/>
        </w:rPr>
        <w:t>Seguro de vida: 217,50 € calculado por importe de 150.000,00 para una persona de 31 años con: fallecimiento, invalidez permanente absoluta y gran dependencia</w:t>
      </w:r>
      <w:r w:rsidR="00D91ECC">
        <w:rPr>
          <w:rFonts w:ascii="Verdana" w:hAnsi="Verdana"/>
          <w:sz w:val="18"/>
          <w:szCs w:val="18"/>
        </w:rPr>
        <w:t>.</w:t>
      </w:r>
    </w:p>
    <w:p w:rsidR="00145C6C" w:rsidRPr="00145C6C" w:rsidRDefault="00CC0C57" w:rsidP="00145C6C">
      <w:pPr>
        <w:numPr>
          <w:ilvl w:val="2"/>
          <w:numId w:val="3"/>
        </w:numPr>
        <w:tabs>
          <w:tab w:val="clear" w:pos="2160"/>
        </w:tabs>
        <w:ind w:left="1418" w:right="-57"/>
        <w:jc w:val="both"/>
        <w:rPr>
          <w:rFonts w:ascii="Verdana" w:hAnsi="Verdana"/>
          <w:sz w:val="18"/>
          <w:szCs w:val="18"/>
        </w:rPr>
      </w:pPr>
      <w:r>
        <w:rPr>
          <w:rFonts w:ascii="Verdana" w:hAnsi="Verdana"/>
          <w:sz w:val="18"/>
          <w:szCs w:val="18"/>
        </w:rPr>
        <w:t>Seguro multiriesgo</w:t>
      </w:r>
      <w:r w:rsidR="00145C6C" w:rsidRPr="00145C6C">
        <w:rPr>
          <w:rFonts w:ascii="Verdana" w:hAnsi="Verdana"/>
          <w:sz w:val="18"/>
          <w:szCs w:val="18"/>
        </w:rPr>
        <w:t xml:space="preserve"> hogar: con prima anual de 240 €/año calculado para una vivienda media en núcleo urbano. Según la normativa vigente el solicitante ha de tener contratado y en vigor durante toda la vida del préstamo un seguro que cubra los riesgos de daños e incendio de la vivienda que se hipoteca, debiendo notificarse al asegurador la existencia del préstamo hipotecario y siendo la Entidad beneficiaria de la indemnización correspondiente en caso de siniestro</w:t>
      </w:r>
    </w:p>
    <w:p w:rsidR="00145C6C" w:rsidRPr="00BC5A3D" w:rsidRDefault="00145C6C" w:rsidP="00145C6C">
      <w:pPr>
        <w:ind w:left="567" w:right="-57"/>
        <w:jc w:val="both"/>
        <w:rPr>
          <w:rFonts w:ascii="Verdana" w:hAnsi="Verdana"/>
          <w:sz w:val="18"/>
          <w:szCs w:val="18"/>
        </w:rPr>
      </w:pPr>
    </w:p>
    <w:p w:rsidR="00434814" w:rsidRPr="00BC5A3D" w:rsidRDefault="00434814" w:rsidP="00BC5A3D">
      <w:pPr>
        <w:tabs>
          <w:tab w:val="num" w:pos="2130"/>
        </w:tabs>
        <w:ind w:left="720" w:right="-57" w:hanging="369"/>
        <w:jc w:val="both"/>
        <w:rPr>
          <w:rFonts w:ascii="Verdana" w:hAnsi="Verdana"/>
          <w:sz w:val="18"/>
          <w:szCs w:val="18"/>
        </w:rPr>
      </w:pPr>
    </w:p>
    <w:p w:rsidR="00434814" w:rsidRDefault="00434814" w:rsidP="00E92C61">
      <w:pPr>
        <w:ind w:left="567" w:right="-55"/>
        <w:jc w:val="both"/>
        <w:rPr>
          <w:rFonts w:ascii="Verdana" w:hAnsi="Verdana"/>
        </w:rPr>
      </w:pPr>
      <w:r w:rsidRPr="002F3BAB">
        <w:rPr>
          <w:rFonts w:ascii="Verdana" w:hAnsi="Verdana"/>
          <w:vertAlign w:val="superscript"/>
        </w:rPr>
        <w:t>(*)</w:t>
      </w:r>
      <w:r w:rsidRPr="00034CDD">
        <w:rPr>
          <w:rFonts w:ascii="Verdana" w:hAnsi="Verdana"/>
        </w:rPr>
        <w:t xml:space="preserve"> </w:t>
      </w:r>
      <w:r w:rsidR="000E1492">
        <w:rPr>
          <w:rFonts w:ascii="Verdana" w:hAnsi="Verdana"/>
        </w:rPr>
        <w:t xml:space="preserve">La </w:t>
      </w:r>
      <w:r w:rsidRPr="00034CDD">
        <w:rPr>
          <w:rFonts w:ascii="Verdana" w:hAnsi="Verdana"/>
        </w:rPr>
        <w:t>TAE</w:t>
      </w:r>
      <w:r>
        <w:rPr>
          <w:rFonts w:ascii="Verdana" w:hAnsi="Verdana"/>
        </w:rPr>
        <w:t>Variable</w:t>
      </w:r>
      <w:r w:rsidRPr="00034CDD">
        <w:rPr>
          <w:rFonts w:ascii="Verdana" w:hAnsi="Verdana"/>
        </w:rPr>
        <w:t xml:space="preserve"> </w:t>
      </w:r>
      <w:r w:rsidR="000E1492">
        <w:rPr>
          <w:rFonts w:ascii="Verdana" w:hAnsi="Verdana"/>
        </w:rPr>
        <w:t>se ha calculado bajo la hipótesis de que el índice de referencia no varía, por lo tanto, esta TAE Variable variará con las revisiones del tipo de interés</w:t>
      </w:r>
      <w:r w:rsidRPr="00034CDD">
        <w:rPr>
          <w:rFonts w:ascii="Verdana" w:hAnsi="Verdana"/>
        </w:rPr>
        <w:t>.</w:t>
      </w:r>
    </w:p>
    <w:p w:rsidR="00B4471C" w:rsidRDefault="00B4471C" w:rsidP="00E92C61">
      <w:pPr>
        <w:ind w:left="567" w:right="-55"/>
        <w:jc w:val="both"/>
        <w:rPr>
          <w:rFonts w:ascii="Verdana" w:hAnsi="Verdana"/>
        </w:rPr>
      </w:pPr>
    </w:p>
    <w:p w:rsidR="00434814" w:rsidRDefault="00434814" w:rsidP="008760B6">
      <w:pPr>
        <w:ind w:left="426" w:right="-55"/>
        <w:jc w:val="both"/>
        <w:rPr>
          <w:rFonts w:ascii="Verdana" w:hAnsi="Verdana"/>
        </w:rPr>
      </w:pPr>
    </w:p>
    <w:p w:rsidR="00DB7C25" w:rsidRDefault="00434814" w:rsidP="00434814">
      <w:pPr>
        <w:numPr>
          <w:ilvl w:val="0"/>
          <w:numId w:val="12"/>
        </w:numPr>
        <w:tabs>
          <w:tab w:val="clear" w:pos="2130"/>
          <w:tab w:val="num" w:pos="993"/>
        </w:tabs>
        <w:ind w:left="993" w:right="-55"/>
        <w:jc w:val="both"/>
        <w:rPr>
          <w:rFonts w:ascii="Verdana" w:hAnsi="Verdana"/>
        </w:rPr>
      </w:pPr>
      <w:r w:rsidRPr="008E0CB8">
        <w:rPr>
          <w:rFonts w:ascii="Verdana" w:hAnsi="Verdana"/>
          <w:b/>
        </w:rPr>
        <w:t xml:space="preserve">Coste total del préstamo en términos absolutos: </w:t>
      </w:r>
      <w:r w:rsidRPr="008E0CB8">
        <w:rPr>
          <w:rFonts w:ascii="Verdana" w:hAnsi="Verdana"/>
        </w:rPr>
        <w:t>se indica en el cuadro el coste total en función de cada operación de préstamo hipotecario</w:t>
      </w:r>
      <w:r>
        <w:rPr>
          <w:rFonts w:ascii="Verdana" w:hAnsi="Verdana"/>
        </w:rPr>
        <w:t xml:space="preserve">. Este concepto </w:t>
      </w:r>
      <w:r w:rsidR="00D91ECC">
        <w:rPr>
          <w:rFonts w:ascii="Verdana" w:hAnsi="Verdana"/>
        </w:rPr>
        <w:t xml:space="preserve">comprende </w:t>
      </w:r>
      <w:r>
        <w:rPr>
          <w:rFonts w:ascii="Verdana" w:hAnsi="Verdana"/>
        </w:rPr>
        <w:t>todos los gastos, incluidos intereses, comisiones, impuestos y otros gastos que el solicitante deba pagar en relación al contrato de préstamo y que son conocidos, a excepción de los gastos de Notaría. Se ha calculado partiendo de las siguientes asunciones: que el tipo de interés  del primer periodo se mantiene constante durante toda la vida del préstamo hipotecario, que las obligaciones del préstamo hipotecario se cumplieran por ambas partes, que sobre el préstamo hipotecario no se produjera ningún tipo de amortización anticipada total ni parcial y que las primas de seguros se mantienen constantes durante toda la vida de la hipoteca.</w:t>
      </w:r>
    </w:p>
    <w:p w:rsidR="00B57F59" w:rsidRDefault="00B57F59">
      <w:pPr>
        <w:rPr>
          <w:rFonts w:ascii="Verdana" w:hAnsi="Verdana"/>
        </w:rPr>
      </w:pPr>
    </w:p>
    <w:p w:rsidR="00434814" w:rsidRPr="00034CDD" w:rsidRDefault="00434814" w:rsidP="008760B6">
      <w:pPr>
        <w:tabs>
          <w:tab w:val="num" w:pos="1134"/>
        </w:tabs>
        <w:ind w:left="993" w:right="-55"/>
        <w:jc w:val="both"/>
        <w:rPr>
          <w:rFonts w:ascii="Verdana" w:hAnsi="Verdana"/>
        </w:rPr>
      </w:pPr>
    </w:p>
    <w:p w:rsidR="00434814" w:rsidRDefault="003F2179" w:rsidP="008760B6">
      <w:pPr>
        <w:ind w:right="-55"/>
        <w:jc w:val="both"/>
        <w:rPr>
          <w:rFonts w:ascii="Verdana" w:hAnsi="Verdana"/>
        </w:rPr>
      </w:pPr>
      <w:r>
        <w:rPr>
          <w:rFonts w:ascii="Verdana" w:hAnsi="Verdana"/>
          <w:noProof/>
        </w:rPr>
        <w:pict>
          <v:rect id="_x0000_s1031" style="position:absolute;left:0;text-align:left;margin-left:-4.8pt;margin-top:9.45pt;width:498.75pt;height:18.75pt;z-index:251664384" fillcolor="#4f81bd">
            <v:textbox>
              <w:txbxContent>
                <w:p w:rsidR="00C90EE5" w:rsidRPr="00750752" w:rsidRDefault="00C90EE5" w:rsidP="008760B6">
                  <w:pPr>
                    <w:rPr>
                      <w:rFonts w:ascii="Verdana" w:hAnsi="Verdana"/>
                      <w:color w:val="FFFFFF"/>
                    </w:rPr>
                  </w:pPr>
                  <w:r>
                    <w:rPr>
                      <w:rFonts w:ascii="Verdana" w:hAnsi="Verdana"/>
                      <w:color w:val="FFFFFF"/>
                    </w:rPr>
                    <w:t>Amortización Anticipada</w:t>
                  </w:r>
                </w:p>
              </w:txbxContent>
            </v:textbox>
          </v:rect>
        </w:pict>
      </w:r>
    </w:p>
    <w:p w:rsidR="00434814" w:rsidRDefault="00434814" w:rsidP="008760B6">
      <w:pPr>
        <w:ind w:right="-55"/>
        <w:jc w:val="both"/>
        <w:rPr>
          <w:rFonts w:ascii="Verdana" w:hAnsi="Verdana"/>
          <w:color w:val="003FAF"/>
        </w:rPr>
      </w:pPr>
    </w:p>
    <w:p w:rsidR="00434814" w:rsidRDefault="00434814" w:rsidP="008760B6">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jc w:val="both"/>
      </w:pPr>
    </w:p>
    <w:p w:rsidR="00434814" w:rsidRDefault="00434814" w:rsidP="00434814">
      <w:pPr>
        <w:numPr>
          <w:ilvl w:val="0"/>
          <w:numId w:val="7"/>
        </w:numPr>
        <w:tabs>
          <w:tab w:val="left" w:pos="-1440"/>
          <w:tab w:val="left" w:pos="-720"/>
          <w:tab w:val="left" w:pos="993"/>
          <w:tab w:val="decimal" w:pos="3902"/>
          <w:tab w:val="decimal" w:pos="5011"/>
          <w:tab w:val="decimal" w:pos="6120"/>
          <w:tab w:val="decimal" w:pos="7330"/>
          <w:tab w:val="left" w:pos="8505"/>
          <w:tab w:val="left" w:pos="9360"/>
          <w:tab w:val="left" w:pos="10080"/>
        </w:tabs>
        <w:suppressAutoHyphens/>
        <w:ind w:left="993"/>
        <w:jc w:val="both"/>
      </w:pPr>
      <w:r>
        <w:rPr>
          <w:rFonts w:ascii="Verdana" w:hAnsi="Verdana"/>
          <w:b/>
        </w:rPr>
        <w:t>Amortización Anticipada para Préstamos a tipo de interés variable</w:t>
      </w:r>
    </w:p>
    <w:p w:rsidR="00434814" w:rsidRDefault="00434814" w:rsidP="008760B6">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ind w:left="284"/>
        <w:jc w:val="both"/>
      </w:pPr>
    </w:p>
    <w:tbl>
      <w:tblPr>
        <w:tblW w:w="8859" w:type="dxa"/>
        <w:tblInd w:w="565" w:type="dxa"/>
        <w:tblCellMar>
          <w:left w:w="70" w:type="dxa"/>
          <w:right w:w="70" w:type="dxa"/>
        </w:tblCellMar>
        <w:tblLook w:val="04A0" w:firstRow="1" w:lastRow="0" w:firstColumn="1" w:lastColumn="0" w:noHBand="0" w:noVBand="1"/>
      </w:tblPr>
      <w:tblGrid>
        <w:gridCol w:w="2182"/>
        <w:gridCol w:w="1842"/>
        <w:gridCol w:w="2567"/>
        <w:gridCol w:w="2268"/>
      </w:tblGrid>
      <w:tr w:rsidR="00E06BD9" w:rsidTr="00C23D4F">
        <w:trPr>
          <w:trHeight w:val="555"/>
        </w:trPr>
        <w:tc>
          <w:tcPr>
            <w:tcW w:w="2182" w:type="dxa"/>
            <w:tcBorders>
              <w:top w:val="single" w:sz="4" w:space="0" w:color="1F497D"/>
              <w:left w:val="single" w:sz="4" w:space="0" w:color="1F497D"/>
              <w:bottom w:val="single" w:sz="4" w:space="0" w:color="1F497D"/>
              <w:right w:val="single" w:sz="4" w:space="0" w:color="1F497D"/>
            </w:tcBorders>
            <w:shd w:val="clear" w:color="auto" w:fill="B8CCE4" w:themeFill="accent1" w:themeFillTint="66"/>
            <w:vAlign w:val="center"/>
            <w:hideMark/>
          </w:tcPr>
          <w:p w:rsidR="00E06BD9" w:rsidRDefault="00E06BD9" w:rsidP="00E1617B">
            <w:pPr>
              <w:rPr>
                <w:rFonts w:ascii="News Gothic BT" w:hAnsi="News Gothic BT" w:cs="Calibri"/>
                <w:b/>
                <w:bCs/>
                <w:color w:val="000080"/>
                <w:sz w:val="16"/>
                <w:szCs w:val="16"/>
              </w:rPr>
            </w:pPr>
            <w:r>
              <w:rPr>
                <w:rFonts w:ascii="News Gothic BT" w:hAnsi="News Gothic BT" w:cs="Calibri"/>
                <w:b/>
                <w:bCs/>
                <w:color w:val="000080"/>
                <w:sz w:val="16"/>
                <w:szCs w:val="16"/>
              </w:rPr>
              <w:t>PRÉSTAMOS CON GARANTÍA HIPOTECARIA A TIPO DE INTERÉS VARIABLE</w:t>
            </w:r>
          </w:p>
        </w:tc>
        <w:tc>
          <w:tcPr>
            <w:tcW w:w="1842" w:type="dxa"/>
            <w:tcBorders>
              <w:top w:val="single" w:sz="4" w:space="0" w:color="1F497D"/>
              <w:left w:val="single" w:sz="4" w:space="0" w:color="1F497D"/>
              <w:bottom w:val="single" w:sz="4" w:space="0" w:color="1F497D"/>
              <w:right w:val="single" w:sz="4" w:space="0" w:color="1F497D"/>
            </w:tcBorders>
            <w:shd w:val="clear" w:color="auto" w:fill="B8CCE4" w:themeFill="accent1" w:themeFillTint="66"/>
            <w:vAlign w:val="center"/>
          </w:tcPr>
          <w:p w:rsidR="00E06BD9" w:rsidRDefault="00E06BD9" w:rsidP="00E1617B">
            <w:pPr>
              <w:rPr>
                <w:rFonts w:ascii="News Gothic BT" w:hAnsi="News Gothic BT" w:cs="Calibri"/>
                <w:b/>
                <w:bCs/>
                <w:color w:val="000080"/>
                <w:sz w:val="16"/>
                <w:szCs w:val="16"/>
              </w:rPr>
            </w:pPr>
            <w:r>
              <w:rPr>
                <w:rFonts w:ascii="News Gothic BT" w:hAnsi="News Gothic BT" w:cs="Calibri"/>
                <w:b/>
                <w:bCs/>
                <w:color w:val="000080"/>
                <w:sz w:val="16"/>
                <w:szCs w:val="16"/>
              </w:rPr>
              <w:t>COMISIÓN POR AMORTIZACIÓN ANTICIPADA PARCIAL O COMPENSACIÓN POR DESISTIMIENTO PARCIAL</w:t>
            </w:r>
          </w:p>
        </w:tc>
        <w:tc>
          <w:tcPr>
            <w:tcW w:w="2567" w:type="dxa"/>
            <w:tcBorders>
              <w:top w:val="single" w:sz="4" w:space="0" w:color="1F497D"/>
              <w:left w:val="single" w:sz="4" w:space="0" w:color="1F497D"/>
              <w:bottom w:val="single" w:sz="4" w:space="0" w:color="1F497D"/>
              <w:right w:val="single" w:sz="4" w:space="0" w:color="1F497D"/>
            </w:tcBorders>
            <w:shd w:val="clear" w:color="auto" w:fill="B8CCE4" w:themeFill="accent1" w:themeFillTint="66"/>
            <w:vAlign w:val="center"/>
          </w:tcPr>
          <w:p w:rsidR="00E06BD9" w:rsidRDefault="00E06BD9" w:rsidP="00E1617B">
            <w:pPr>
              <w:rPr>
                <w:rFonts w:ascii="News Gothic BT" w:hAnsi="News Gothic BT" w:cs="Calibri"/>
                <w:b/>
                <w:bCs/>
                <w:color w:val="000080"/>
                <w:sz w:val="16"/>
                <w:szCs w:val="16"/>
              </w:rPr>
            </w:pPr>
            <w:r>
              <w:rPr>
                <w:rFonts w:ascii="News Gothic BT" w:hAnsi="News Gothic BT" w:cs="Calibri"/>
                <w:b/>
                <w:bCs/>
                <w:color w:val="000080"/>
                <w:sz w:val="16"/>
                <w:szCs w:val="16"/>
              </w:rPr>
              <w:t>COMISIÓN POR AMORTI</w:t>
            </w:r>
            <w:r w:rsidRPr="00D26B00">
              <w:rPr>
                <w:rFonts w:ascii="News Gothic BT" w:hAnsi="News Gothic BT" w:cs="Calibri"/>
                <w:b/>
                <w:bCs/>
                <w:color w:val="000080"/>
                <w:sz w:val="16"/>
                <w:szCs w:val="16"/>
              </w:rPr>
              <w:t xml:space="preserve">ZACIÓN ANTICIPADA </w:t>
            </w:r>
            <w:r>
              <w:rPr>
                <w:rFonts w:ascii="News Gothic BT" w:hAnsi="News Gothic BT" w:cs="Calibri"/>
                <w:b/>
                <w:bCs/>
                <w:color w:val="000080"/>
                <w:sz w:val="16"/>
                <w:szCs w:val="16"/>
              </w:rPr>
              <w:t>TOTAL</w:t>
            </w:r>
            <w:r w:rsidRPr="00D26B00">
              <w:rPr>
                <w:rFonts w:ascii="News Gothic BT" w:hAnsi="News Gothic BT" w:cs="Calibri"/>
                <w:b/>
                <w:bCs/>
                <w:color w:val="000080"/>
                <w:sz w:val="16"/>
                <w:szCs w:val="16"/>
              </w:rPr>
              <w:t xml:space="preserve"> O COMPENSACIÓN POR DESISTIMIENTO </w:t>
            </w:r>
            <w:r>
              <w:rPr>
                <w:rFonts w:ascii="News Gothic BT" w:hAnsi="News Gothic BT" w:cs="Calibri"/>
                <w:b/>
                <w:bCs/>
                <w:color w:val="000080"/>
                <w:sz w:val="16"/>
                <w:szCs w:val="16"/>
              </w:rPr>
              <w:t>TOTAL</w:t>
            </w:r>
          </w:p>
        </w:tc>
        <w:tc>
          <w:tcPr>
            <w:tcW w:w="2268" w:type="dxa"/>
            <w:tcBorders>
              <w:top w:val="single" w:sz="4" w:space="0" w:color="1F497D"/>
              <w:left w:val="single" w:sz="4" w:space="0" w:color="1F497D"/>
              <w:bottom w:val="single" w:sz="4" w:space="0" w:color="1F497D"/>
              <w:right w:val="single" w:sz="4" w:space="0" w:color="1F497D"/>
            </w:tcBorders>
            <w:shd w:val="clear" w:color="auto" w:fill="B8CCE4" w:themeFill="accent1" w:themeFillTint="66"/>
            <w:vAlign w:val="center"/>
          </w:tcPr>
          <w:p w:rsidR="00E06BD9" w:rsidRDefault="00E06BD9" w:rsidP="00301365">
            <w:pPr>
              <w:rPr>
                <w:rFonts w:ascii="News Gothic BT" w:hAnsi="News Gothic BT" w:cs="Calibri"/>
                <w:b/>
                <w:bCs/>
                <w:color w:val="000080"/>
                <w:sz w:val="16"/>
                <w:szCs w:val="16"/>
              </w:rPr>
            </w:pPr>
            <w:r>
              <w:rPr>
                <w:rFonts w:ascii="News Gothic BT" w:hAnsi="News Gothic BT" w:cs="Calibri"/>
                <w:b/>
                <w:bCs/>
                <w:color w:val="000080"/>
                <w:sz w:val="16"/>
                <w:szCs w:val="16"/>
              </w:rPr>
              <w:t>COMPENSACIÓN RIESGO TIPO DE INTERÉS</w:t>
            </w:r>
            <w:r>
              <w:t xml:space="preserve"> (</w:t>
            </w:r>
            <w:r w:rsidRPr="005B5A89">
              <w:rPr>
                <w:rFonts w:ascii="News Gothic BT" w:hAnsi="News Gothic BT" w:cs="Calibri"/>
                <w:b/>
                <w:bCs/>
                <w:color w:val="000080"/>
                <w:sz w:val="16"/>
                <w:szCs w:val="16"/>
              </w:rPr>
              <w:t>dentro de un período de revisión de tipo de interés cuya duración pactada sea superior a doce meses</w:t>
            </w:r>
            <w:r>
              <w:rPr>
                <w:rFonts w:ascii="News Gothic BT" w:hAnsi="News Gothic BT" w:cs="Calibri"/>
                <w:b/>
                <w:bCs/>
                <w:color w:val="000080"/>
                <w:sz w:val="16"/>
                <w:szCs w:val="16"/>
              </w:rPr>
              <w:t>)</w:t>
            </w:r>
          </w:p>
        </w:tc>
      </w:tr>
      <w:tr w:rsidR="00E06BD9" w:rsidTr="00C23D4F">
        <w:trPr>
          <w:trHeight w:val="300"/>
        </w:trPr>
        <w:tc>
          <w:tcPr>
            <w:tcW w:w="2182"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E06BD9" w:rsidRDefault="00E06BD9" w:rsidP="00E1617B">
            <w:pPr>
              <w:rPr>
                <w:rFonts w:ascii="News Gothic BT" w:hAnsi="News Gothic BT" w:cs="Calibri"/>
                <w:b/>
                <w:bCs/>
                <w:color w:val="000080"/>
                <w:sz w:val="16"/>
                <w:szCs w:val="16"/>
              </w:rPr>
            </w:pPr>
            <w:r>
              <w:rPr>
                <w:rFonts w:ascii="News Gothic BT" w:hAnsi="News Gothic BT" w:cs="Calibri"/>
                <w:b/>
                <w:bCs/>
                <w:color w:val="000080"/>
                <w:sz w:val="16"/>
                <w:szCs w:val="16"/>
              </w:rPr>
              <w:t xml:space="preserve">HOGAR </w:t>
            </w:r>
          </w:p>
        </w:tc>
        <w:tc>
          <w:tcPr>
            <w:tcW w:w="1842" w:type="dxa"/>
            <w:vMerge w:val="restart"/>
            <w:tcBorders>
              <w:top w:val="single" w:sz="4" w:space="0" w:color="1F497D"/>
              <w:left w:val="single" w:sz="4" w:space="0" w:color="1F497D"/>
              <w:right w:val="single" w:sz="4" w:space="0" w:color="1F497D"/>
            </w:tcBorders>
            <w:shd w:val="clear" w:color="000000" w:fill="EEECE1"/>
            <w:vAlign w:val="center"/>
          </w:tcPr>
          <w:p w:rsidR="00E06BD9" w:rsidRDefault="00E06BD9" w:rsidP="00E1617B">
            <w:pPr>
              <w:rPr>
                <w:rFonts w:ascii="News Gothic BT" w:hAnsi="News Gothic BT" w:cs="Calibri"/>
                <w:b/>
                <w:bCs/>
                <w:color w:val="000080"/>
                <w:sz w:val="16"/>
                <w:szCs w:val="16"/>
              </w:rPr>
            </w:pPr>
            <w:r>
              <w:rPr>
                <w:rFonts w:ascii="News Gothic BT" w:hAnsi="News Gothic BT" w:cs="Calibri"/>
                <w:b/>
                <w:bCs/>
                <w:color w:val="000080"/>
                <w:sz w:val="16"/>
                <w:szCs w:val="16"/>
              </w:rPr>
              <w:t>0,00 %</w:t>
            </w:r>
          </w:p>
        </w:tc>
        <w:tc>
          <w:tcPr>
            <w:tcW w:w="2567" w:type="dxa"/>
            <w:vMerge w:val="restart"/>
            <w:tcBorders>
              <w:top w:val="single" w:sz="4" w:space="0" w:color="1F497D"/>
              <w:left w:val="single" w:sz="4" w:space="0" w:color="1F497D"/>
              <w:right w:val="single" w:sz="4" w:space="0" w:color="1F497D"/>
            </w:tcBorders>
            <w:shd w:val="clear" w:color="000000" w:fill="EEECE1"/>
            <w:vAlign w:val="center"/>
          </w:tcPr>
          <w:p w:rsidR="00E06BD9" w:rsidRDefault="00E06BD9" w:rsidP="00E1617B">
            <w:pPr>
              <w:rPr>
                <w:rFonts w:ascii="News Gothic BT" w:hAnsi="News Gothic BT" w:cs="Calibri"/>
                <w:b/>
                <w:bCs/>
                <w:color w:val="000080"/>
                <w:sz w:val="16"/>
                <w:szCs w:val="16"/>
              </w:rPr>
            </w:pPr>
            <w:r>
              <w:rPr>
                <w:rFonts w:ascii="News Gothic BT" w:hAnsi="News Gothic BT" w:cs="Calibri"/>
                <w:b/>
                <w:bCs/>
                <w:color w:val="000080"/>
                <w:sz w:val="16"/>
                <w:szCs w:val="16"/>
              </w:rPr>
              <w:t xml:space="preserve">0,50 % 5 PRIMEROS AÑOS Y </w:t>
            </w:r>
          </w:p>
          <w:p w:rsidR="00E06BD9" w:rsidRDefault="00E06BD9" w:rsidP="00E1617B">
            <w:pPr>
              <w:rPr>
                <w:rFonts w:ascii="News Gothic BT" w:hAnsi="News Gothic BT" w:cs="Calibri"/>
                <w:b/>
                <w:bCs/>
                <w:color w:val="000080"/>
                <w:sz w:val="16"/>
                <w:szCs w:val="16"/>
              </w:rPr>
            </w:pPr>
            <w:r>
              <w:rPr>
                <w:rFonts w:ascii="News Gothic BT" w:hAnsi="News Gothic BT" w:cs="Calibri"/>
                <w:b/>
                <w:bCs/>
                <w:color w:val="000080"/>
                <w:sz w:val="16"/>
                <w:szCs w:val="16"/>
              </w:rPr>
              <w:t>0,25 % PASADOS LOS 5 PRIMEROS AÑOS</w:t>
            </w:r>
          </w:p>
        </w:tc>
        <w:tc>
          <w:tcPr>
            <w:tcW w:w="2268" w:type="dxa"/>
            <w:tcBorders>
              <w:top w:val="single" w:sz="4" w:space="0" w:color="1F497D"/>
              <w:left w:val="single" w:sz="4" w:space="0" w:color="1F497D"/>
              <w:bottom w:val="single" w:sz="4" w:space="0" w:color="1F497D"/>
              <w:right w:val="single" w:sz="4" w:space="0" w:color="1F497D"/>
            </w:tcBorders>
            <w:shd w:val="clear" w:color="000000" w:fill="EEECE1"/>
            <w:vAlign w:val="center"/>
          </w:tcPr>
          <w:p w:rsidR="00E06BD9" w:rsidRDefault="002471F5" w:rsidP="00301365">
            <w:pPr>
              <w:rPr>
                <w:rFonts w:ascii="News Gothic BT" w:hAnsi="News Gothic BT" w:cs="Calibri"/>
                <w:b/>
                <w:bCs/>
                <w:color w:val="000080"/>
                <w:sz w:val="16"/>
                <w:szCs w:val="16"/>
              </w:rPr>
            </w:pPr>
            <w:r>
              <w:rPr>
                <w:rFonts w:ascii="News Gothic BT" w:hAnsi="News Gothic BT" w:cs="Calibri"/>
                <w:b/>
                <w:bCs/>
                <w:color w:val="000080"/>
                <w:sz w:val="16"/>
                <w:szCs w:val="16"/>
              </w:rPr>
              <w:t>0,00 %</w:t>
            </w:r>
          </w:p>
        </w:tc>
      </w:tr>
      <w:tr w:rsidR="00E06BD9" w:rsidTr="00C23D4F">
        <w:trPr>
          <w:trHeight w:val="300"/>
        </w:trPr>
        <w:tc>
          <w:tcPr>
            <w:tcW w:w="2182"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E06BD9" w:rsidRDefault="00E06BD9" w:rsidP="00E1617B">
            <w:pPr>
              <w:rPr>
                <w:rFonts w:ascii="News Gothic BT" w:hAnsi="News Gothic BT" w:cs="Calibri"/>
                <w:b/>
                <w:bCs/>
                <w:color w:val="000080"/>
                <w:sz w:val="16"/>
                <w:szCs w:val="16"/>
              </w:rPr>
            </w:pPr>
            <w:r>
              <w:rPr>
                <w:rFonts w:ascii="News Gothic BT" w:hAnsi="News Gothic BT" w:cs="Calibri"/>
                <w:b/>
                <w:bCs/>
                <w:color w:val="000080"/>
                <w:sz w:val="16"/>
                <w:szCs w:val="16"/>
              </w:rPr>
              <w:t xml:space="preserve">MIXTA </w:t>
            </w:r>
          </w:p>
        </w:tc>
        <w:tc>
          <w:tcPr>
            <w:tcW w:w="1842" w:type="dxa"/>
            <w:vMerge/>
            <w:tcBorders>
              <w:left w:val="single" w:sz="4" w:space="0" w:color="1F497D"/>
              <w:right w:val="single" w:sz="4" w:space="0" w:color="1F497D"/>
            </w:tcBorders>
            <w:shd w:val="clear" w:color="000000" w:fill="EEECE1"/>
            <w:vAlign w:val="center"/>
          </w:tcPr>
          <w:p w:rsidR="00E06BD9" w:rsidRDefault="00E06BD9" w:rsidP="00E1617B">
            <w:pPr>
              <w:rPr>
                <w:rFonts w:ascii="News Gothic BT" w:hAnsi="News Gothic BT" w:cs="Calibri"/>
                <w:b/>
                <w:bCs/>
                <w:color w:val="000080"/>
                <w:sz w:val="16"/>
                <w:szCs w:val="16"/>
              </w:rPr>
            </w:pPr>
          </w:p>
        </w:tc>
        <w:tc>
          <w:tcPr>
            <w:tcW w:w="2567" w:type="dxa"/>
            <w:vMerge/>
            <w:tcBorders>
              <w:left w:val="single" w:sz="4" w:space="0" w:color="1F497D"/>
              <w:right w:val="single" w:sz="4" w:space="0" w:color="1F497D"/>
            </w:tcBorders>
            <w:shd w:val="clear" w:color="000000" w:fill="EEECE1"/>
            <w:vAlign w:val="center"/>
          </w:tcPr>
          <w:p w:rsidR="00E06BD9" w:rsidRDefault="00E06BD9" w:rsidP="00E1617B">
            <w:pPr>
              <w:rPr>
                <w:rFonts w:ascii="News Gothic BT" w:hAnsi="News Gothic BT" w:cs="Calibri"/>
                <w:b/>
                <w:bCs/>
                <w:color w:val="000080"/>
                <w:sz w:val="16"/>
                <w:szCs w:val="16"/>
              </w:rPr>
            </w:pPr>
          </w:p>
        </w:tc>
        <w:tc>
          <w:tcPr>
            <w:tcW w:w="2268" w:type="dxa"/>
            <w:tcBorders>
              <w:top w:val="single" w:sz="4" w:space="0" w:color="1F497D"/>
              <w:left w:val="single" w:sz="4" w:space="0" w:color="1F497D"/>
              <w:bottom w:val="single" w:sz="4" w:space="0" w:color="1F497D"/>
              <w:right w:val="single" w:sz="4" w:space="0" w:color="1F497D"/>
            </w:tcBorders>
            <w:shd w:val="clear" w:color="000000" w:fill="EEECE1"/>
          </w:tcPr>
          <w:p w:rsidR="00E06BD9" w:rsidRDefault="002471F5" w:rsidP="00E1617B">
            <w:pPr>
              <w:rPr>
                <w:rFonts w:ascii="News Gothic BT" w:hAnsi="News Gothic BT" w:cs="Calibri"/>
                <w:b/>
                <w:bCs/>
                <w:color w:val="000080"/>
                <w:sz w:val="16"/>
                <w:szCs w:val="16"/>
              </w:rPr>
            </w:pPr>
            <w:r>
              <w:rPr>
                <w:rFonts w:ascii="News Gothic BT" w:hAnsi="News Gothic BT" w:cs="Calibri"/>
                <w:b/>
                <w:bCs/>
                <w:color w:val="000080"/>
                <w:sz w:val="16"/>
                <w:szCs w:val="16"/>
              </w:rPr>
              <w:t>1,00 %</w:t>
            </w:r>
          </w:p>
        </w:tc>
      </w:tr>
      <w:tr w:rsidR="00E06BD9" w:rsidTr="00C23D4F">
        <w:trPr>
          <w:trHeight w:val="300"/>
        </w:trPr>
        <w:tc>
          <w:tcPr>
            <w:tcW w:w="2182" w:type="dxa"/>
            <w:tcBorders>
              <w:top w:val="single" w:sz="4" w:space="0" w:color="1F497D"/>
              <w:left w:val="single" w:sz="4" w:space="0" w:color="1F497D"/>
              <w:bottom w:val="single" w:sz="4" w:space="0" w:color="1F497D"/>
              <w:right w:val="single" w:sz="4" w:space="0" w:color="1F497D"/>
            </w:tcBorders>
            <w:shd w:val="clear" w:color="000000" w:fill="EEECE1"/>
            <w:vAlign w:val="center"/>
          </w:tcPr>
          <w:p w:rsidR="00E06BD9" w:rsidRDefault="00E06BD9" w:rsidP="00E1617B">
            <w:pPr>
              <w:rPr>
                <w:rFonts w:ascii="News Gothic BT" w:hAnsi="News Gothic BT" w:cs="Calibri"/>
                <w:b/>
                <w:bCs/>
                <w:color w:val="000080"/>
                <w:sz w:val="16"/>
                <w:szCs w:val="16"/>
              </w:rPr>
            </w:pPr>
            <w:r>
              <w:rPr>
                <w:rFonts w:ascii="News Gothic BT" w:hAnsi="News Gothic BT" w:cs="Calibri"/>
                <w:b/>
                <w:bCs/>
                <w:color w:val="000080"/>
                <w:sz w:val="16"/>
                <w:szCs w:val="16"/>
              </w:rPr>
              <w:t>UNIVERSAL</w:t>
            </w:r>
          </w:p>
        </w:tc>
        <w:tc>
          <w:tcPr>
            <w:tcW w:w="1842" w:type="dxa"/>
            <w:vMerge/>
            <w:tcBorders>
              <w:left w:val="single" w:sz="4" w:space="0" w:color="1F497D"/>
              <w:bottom w:val="single" w:sz="4" w:space="0" w:color="1F497D"/>
              <w:right w:val="single" w:sz="4" w:space="0" w:color="1F497D"/>
            </w:tcBorders>
            <w:shd w:val="clear" w:color="000000" w:fill="EEECE1"/>
            <w:vAlign w:val="center"/>
          </w:tcPr>
          <w:p w:rsidR="00E06BD9" w:rsidRDefault="00E06BD9" w:rsidP="00E1617B">
            <w:pPr>
              <w:rPr>
                <w:rFonts w:ascii="News Gothic BT" w:hAnsi="News Gothic BT" w:cs="Calibri"/>
                <w:b/>
                <w:bCs/>
                <w:color w:val="000080"/>
                <w:sz w:val="16"/>
                <w:szCs w:val="16"/>
              </w:rPr>
            </w:pPr>
          </w:p>
        </w:tc>
        <w:tc>
          <w:tcPr>
            <w:tcW w:w="2567" w:type="dxa"/>
            <w:vMerge/>
            <w:tcBorders>
              <w:left w:val="single" w:sz="4" w:space="0" w:color="1F497D"/>
              <w:bottom w:val="single" w:sz="4" w:space="0" w:color="1F497D"/>
              <w:right w:val="single" w:sz="4" w:space="0" w:color="1F497D"/>
            </w:tcBorders>
            <w:shd w:val="clear" w:color="000000" w:fill="EEECE1"/>
            <w:vAlign w:val="center"/>
          </w:tcPr>
          <w:p w:rsidR="00E06BD9" w:rsidRDefault="00E06BD9" w:rsidP="00E1617B">
            <w:pPr>
              <w:rPr>
                <w:rFonts w:ascii="News Gothic BT" w:hAnsi="News Gothic BT" w:cs="Calibri"/>
                <w:b/>
                <w:bCs/>
                <w:color w:val="000080"/>
                <w:sz w:val="16"/>
                <w:szCs w:val="16"/>
              </w:rPr>
            </w:pPr>
          </w:p>
        </w:tc>
        <w:tc>
          <w:tcPr>
            <w:tcW w:w="2268" w:type="dxa"/>
            <w:tcBorders>
              <w:top w:val="single" w:sz="4" w:space="0" w:color="1F497D"/>
              <w:left w:val="single" w:sz="4" w:space="0" w:color="1F497D"/>
              <w:bottom w:val="single" w:sz="4" w:space="0" w:color="1F497D"/>
              <w:right w:val="single" w:sz="4" w:space="0" w:color="1F497D"/>
            </w:tcBorders>
            <w:shd w:val="clear" w:color="000000" w:fill="EEECE1"/>
          </w:tcPr>
          <w:p w:rsidR="00E06BD9" w:rsidRDefault="009C6D36" w:rsidP="009C6D36">
            <w:pPr>
              <w:rPr>
                <w:rFonts w:ascii="News Gothic BT" w:hAnsi="News Gothic BT" w:cs="Calibri"/>
                <w:b/>
                <w:bCs/>
                <w:color w:val="000080"/>
                <w:sz w:val="16"/>
                <w:szCs w:val="16"/>
              </w:rPr>
            </w:pPr>
            <w:r>
              <w:rPr>
                <w:rFonts w:ascii="News Gothic BT" w:hAnsi="News Gothic BT" w:cs="Calibri"/>
                <w:b/>
                <w:bCs/>
                <w:color w:val="000080"/>
                <w:sz w:val="16"/>
                <w:szCs w:val="16"/>
              </w:rPr>
              <w:t>0</w:t>
            </w:r>
            <w:r w:rsidR="002471F5">
              <w:rPr>
                <w:rFonts w:ascii="News Gothic BT" w:hAnsi="News Gothic BT" w:cs="Calibri"/>
                <w:b/>
                <w:bCs/>
                <w:color w:val="000080"/>
                <w:sz w:val="16"/>
                <w:szCs w:val="16"/>
              </w:rPr>
              <w:t>,00 %</w:t>
            </w:r>
          </w:p>
        </w:tc>
      </w:tr>
    </w:tbl>
    <w:p w:rsidR="00434814" w:rsidRDefault="00434814" w:rsidP="008760B6">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ind w:left="993"/>
        <w:jc w:val="both"/>
        <w:rPr>
          <w:rFonts w:ascii="Verdana" w:hAnsi="Verdana"/>
          <w:spacing w:val="-2"/>
        </w:rPr>
      </w:pPr>
    </w:p>
    <w:p w:rsidR="00434814" w:rsidRDefault="00434814" w:rsidP="00434814">
      <w:pPr>
        <w:numPr>
          <w:ilvl w:val="0"/>
          <w:numId w:val="8"/>
        </w:numPr>
        <w:tabs>
          <w:tab w:val="clear" w:pos="284"/>
          <w:tab w:val="left" w:pos="-1440"/>
          <w:tab w:val="left" w:pos="-720"/>
          <w:tab w:val="num" w:pos="851"/>
          <w:tab w:val="decimal" w:pos="3902"/>
          <w:tab w:val="decimal" w:pos="5011"/>
          <w:tab w:val="decimal" w:pos="6120"/>
          <w:tab w:val="decimal" w:pos="7330"/>
          <w:tab w:val="left" w:pos="8505"/>
          <w:tab w:val="left" w:pos="9360"/>
          <w:tab w:val="left" w:pos="10080"/>
        </w:tabs>
        <w:suppressAutoHyphens/>
        <w:ind w:left="851"/>
        <w:jc w:val="both"/>
        <w:rPr>
          <w:rFonts w:ascii="Verdana" w:hAnsi="Verdana"/>
          <w:spacing w:val="-2"/>
        </w:rPr>
      </w:pPr>
      <w:r w:rsidRPr="00034CDD">
        <w:rPr>
          <w:rFonts w:ascii="Verdana" w:hAnsi="Verdana"/>
          <w:b/>
          <w:spacing w:val="-2"/>
        </w:rPr>
        <w:t>Comisión por amortización anticipada parcial</w:t>
      </w:r>
      <w:r w:rsidRPr="00034CDD">
        <w:rPr>
          <w:rFonts w:ascii="Verdana" w:hAnsi="Verdana"/>
          <w:spacing w:val="-2"/>
        </w:rPr>
        <w:t xml:space="preserve">: </w:t>
      </w:r>
      <w:r>
        <w:rPr>
          <w:rFonts w:ascii="Verdana" w:hAnsi="Verdana"/>
          <w:spacing w:val="-2"/>
        </w:rPr>
        <w:t>0</w:t>
      </w:r>
      <w:r w:rsidRPr="00034CDD">
        <w:rPr>
          <w:rFonts w:ascii="Verdana" w:hAnsi="Verdana"/>
          <w:spacing w:val="-2"/>
        </w:rPr>
        <w:t xml:space="preserve">% sobre el capital </w:t>
      </w:r>
      <w:r>
        <w:rPr>
          <w:rFonts w:ascii="Verdana" w:hAnsi="Verdana"/>
          <w:spacing w:val="-2"/>
        </w:rPr>
        <w:t>que se amortice</w:t>
      </w:r>
      <w:r w:rsidRPr="00034CDD">
        <w:rPr>
          <w:rFonts w:ascii="Verdana" w:hAnsi="Verdana"/>
          <w:spacing w:val="-2"/>
        </w:rPr>
        <w:t xml:space="preserve"> del préstamo.</w:t>
      </w:r>
    </w:p>
    <w:p w:rsidR="00434814" w:rsidRDefault="00434814" w:rsidP="008760B6">
      <w:pPr>
        <w:tabs>
          <w:tab w:val="left" w:pos="-1440"/>
          <w:tab w:val="left" w:pos="-720"/>
          <w:tab w:val="num" w:pos="851"/>
          <w:tab w:val="left" w:pos="2393"/>
          <w:tab w:val="decimal" w:pos="3902"/>
          <w:tab w:val="decimal" w:pos="5011"/>
          <w:tab w:val="decimal" w:pos="6120"/>
          <w:tab w:val="decimal" w:pos="7330"/>
          <w:tab w:val="left" w:pos="8505"/>
          <w:tab w:val="left" w:pos="9360"/>
          <w:tab w:val="left" w:pos="10080"/>
        </w:tabs>
        <w:suppressAutoHyphens/>
        <w:ind w:left="851"/>
        <w:jc w:val="both"/>
        <w:rPr>
          <w:rFonts w:ascii="Verdana" w:hAnsi="Verdana"/>
          <w:spacing w:val="-2"/>
        </w:rPr>
      </w:pPr>
    </w:p>
    <w:p w:rsidR="00434814" w:rsidRDefault="00434814" w:rsidP="00434814">
      <w:pPr>
        <w:numPr>
          <w:ilvl w:val="0"/>
          <w:numId w:val="8"/>
        </w:numPr>
        <w:tabs>
          <w:tab w:val="clear" w:pos="284"/>
          <w:tab w:val="left" w:pos="-1440"/>
          <w:tab w:val="left" w:pos="-720"/>
          <w:tab w:val="num" w:pos="851"/>
          <w:tab w:val="decimal" w:pos="3902"/>
          <w:tab w:val="decimal" w:pos="5011"/>
          <w:tab w:val="decimal" w:pos="6120"/>
          <w:tab w:val="decimal" w:pos="7330"/>
          <w:tab w:val="left" w:pos="8505"/>
          <w:tab w:val="left" w:pos="9360"/>
          <w:tab w:val="left" w:pos="10080"/>
        </w:tabs>
        <w:suppressAutoHyphens/>
        <w:ind w:left="851"/>
        <w:jc w:val="both"/>
        <w:rPr>
          <w:rFonts w:ascii="Verdana" w:hAnsi="Verdana"/>
          <w:spacing w:val="-2"/>
        </w:rPr>
      </w:pPr>
      <w:r w:rsidRPr="00034CDD">
        <w:rPr>
          <w:rFonts w:ascii="Verdana" w:hAnsi="Verdana"/>
          <w:b/>
          <w:spacing w:val="-2"/>
        </w:rPr>
        <w:t>Comisión por amortización anticipada total</w:t>
      </w:r>
      <w:r w:rsidRPr="00034CDD">
        <w:rPr>
          <w:rFonts w:ascii="Verdana" w:hAnsi="Verdana"/>
          <w:spacing w:val="-2"/>
        </w:rPr>
        <w:t xml:space="preserve">: 0,50% sobre el capital </w:t>
      </w:r>
      <w:r>
        <w:rPr>
          <w:rFonts w:ascii="Verdana" w:hAnsi="Verdana"/>
          <w:spacing w:val="-2"/>
        </w:rPr>
        <w:t>que se amortice</w:t>
      </w:r>
      <w:r w:rsidRPr="00034CDD">
        <w:rPr>
          <w:rFonts w:ascii="Verdana" w:hAnsi="Verdana"/>
          <w:spacing w:val="-2"/>
        </w:rPr>
        <w:t xml:space="preserve"> cuando la </w:t>
      </w:r>
      <w:r>
        <w:rPr>
          <w:rFonts w:ascii="Verdana" w:hAnsi="Verdana"/>
          <w:spacing w:val="-2"/>
        </w:rPr>
        <w:t xml:space="preserve">cancelación </w:t>
      </w:r>
      <w:r w:rsidRPr="00034CDD">
        <w:rPr>
          <w:rFonts w:ascii="Verdana" w:hAnsi="Verdana"/>
          <w:spacing w:val="-2"/>
        </w:rPr>
        <w:t xml:space="preserve">anticipada se produzca dentro de los cinco primeros años del préstamo, o el 0,25% sobre el capital </w:t>
      </w:r>
      <w:r>
        <w:rPr>
          <w:rFonts w:ascii="Verdana" w:hAnsi="Verdana"/>
          <w:spacing w:val="-2"/>
        </w:rPr>
        <w:t>que se amortice</w:t>
      </w:r>
      <w:r w:rsidRPr="00034CDD">
        <w:rPr>
          <w:rFonts w:ascii="Verdana" w:hAnsi="Verdana"/>
          <w:spacing w:val="-2"/>
        </w:rPr>
        <w:t xml:space="preserve"> cuando la </w:t>
      </w:r>
      <w:r>
        <w:rPr>
          <w:rFonts w:ascii="Verdana" w:hAnsi="Verdana"/>
          <w:spacing w:val="-2"/>
        </w:rPr>
        <w:t>cancelación</w:t>
      </w:r>
      <w:r w:rsidRPr="00034CDD">
        <w:rPr>
          <w:rFonts w:ascii="Verdana" w:hAnsi="Verdana"/>
          <w:spacing w:val="-2"/>
        </w:rPr>
        <w:t xml:space="preserve"> anticipada se produzca pasados los cinco primero</w:t>
      </w:r>
      <w:r>
        <w:rPr>
          <w:rFonts w:ascii="Verdana" w:hAnsi="Verdana"/>
          <w:spacing w:val="-2"/>
        </w:rPr>
        <w:t>s</w:t>
      </w:r>
      <w:r w:rsidRPr="00034CDD">
        <w:rPr>
          <w:rFonts w:ascii="Verdana" w:hAnsi="Verdana"/>
          <w:spacing w:val="-2"/>
        </w:rPr>
        <w:t xml:space="preserve"> años del préstamo.</w:t>
      </w:r>
    </w:p>
    <w:p w:rsidR="00434814" w:rsidRPr="00034CDD" w:rsidRDefault="00434814" w:rsidP="008760B6">
      <w:pPr>
        <w:tabs>
          <w:tab w:val="left" w:pos="-1440"/>
          <w:tab w:val="left" w:pos="-720"/>
          <w:tab w:val="num" w:pos="851"/>
          <w:tab w:val="left" w:pos="2393"/>
          <w:tab w:val="decimal" w:pos="3902"/>
          <w:tab w:val="decimal" w:pos="5011"/>
          <w:tab w:val="decimal" w:pos="6120"/>
          <w:tab w:val="decimal" w:pos="7330"/>
          <w:tab w:val="left" w:pos="8505"/>
          <w:tab w:val="left" w:pos="9360"/>
          <w:tab w:val="left" w:pos="10080"/>
        </w:tabs>
        <w:suppressAutoHyphens/>
        <w:ind w:left="851"/>
        <w:jc w:val="both"/>
        <w:rPr>
          <w:rFonts w:ascii="Verdana" w:hAnsi="Verdana"/>
          <w:spacing w:val="-2"/>
        </w:rPr>
      </w:pPr>
    </w:p>
    <w:p w:rsidR="00434814" w:rsidRDefault="00434814" w:rsidP="00434814">
      <w:pPr>
        <w:numPr>
          <w:ilvl w:val="0"/>
          <w:numId w:val="8"/>
        </w:numPr>
        <w:tabs>
          <w:tab w:val="clear" w:pos="284"/>
          <w:tab w:val="left" w:pos="-1440"/>
          <w:tab w:val="left" w:pos="-720"/>
          <w:tab w:val="num" w:pos="851"/>
          <w:tab w:val="decimal" w:pos="3902"/>
          <w:tab w:val="decimal" w:pos="5011"/>
          <w:tab w:val="decimal" w:pos="6120"/>
          <w:tab w:val="decimal" w:pos="7330"/>
          <w:tab w:val="left" w:pos="8505"/>
          <w:tab w:val="left" w:pos="9360"/>
          <w:tab w:val="left" w:pos="10080"/>
        </w:tabs>
        <w:suppressAutoHyphens/>
        <w:ind w:left="851"/>
        <w:jc w:val="both"/>
        <w:rPr>
          <w:rFonts w:ascii="Verdana" w:hAnsi="Verdana"/>
          <w:spacing w:val="-2"/>
        </w:rPr>
      </w:pPr>
      <w:r w:rsidRPr="00034CDD">
        <w:rPr>
          <w:rFonts w:ascii="Verdana" w:hAnsi="Verdana"/>
          <w:b/>
          <w:spacing w:val="-2"/>
        </w:rPr>
        <w:t>Compensación por desistimiento parcial:</w:t>
      </w:r>
      <w:r w:rsidRPr="00034CDD">
        <w:rPr>
          <w:rFonts w:ascii="Verdana" w:hAnsi="Verdana"/>
          <w:spacing w:val="-2"/>
        </w:rPr>
        <w:t xml:space="preserve"> 0% sobre el capital </w:t>
      </w:r>
      <w:r>
        <w:rPr>
          <w:rFonts w:ascii="Verdana" w:hAnsi="Verdana"/>
          <w:spacing w:val="-2"/>
        </w:rPr>
        <w:t>que se amortice</w:t>
      </w:r>
      <w:r w:rsidRPr="00034CDD">
        <w:rPr>
          <w:rFonts w:ascii="Verdana" w:hAnsi="Verdana"/>
          <w:spacing w:val="-2"/>
        </w:rPr>
        <w:t xml:space="preserve"> de</w:t>
      </w:r>
      <w:r>
        <w:rPr>
          <w:rFonts w:ascii="Verdana" w:hAnsi="Verdana"/>
          <w:spacing w:val="-2"/>
        </w:rPr>
        <w:t>l</w:t>
      </w:r>
      <w:r w:rsidRPr="00034CDD">
        <w:rPr>
          <w:rFonts w:ascii="Verdana" w:hAnsi="Verdana"/>
          <w:spacing w:val="-2"/>
        </w:rPr>
        <w:t xml:space="preserve"> préstamo.</w:t>
      </w:r>
    </w:p>
    <w:p w:rsidR="00807C80" w:rsidRDefault="00807C80" w:rsidP="00BC5A3D">
      <w:pPr>
        <w:tabs>
          <w:tab w:val="left" w:pos="-1440"/>
          <w:tab w:val="left" w:pos="-720"/>
          <w:tab w:val="decimal" w:pos="3902"/>
          <w:tab w:val="decimal" w:pos="5011"/>
          <w:tab w:val="decimal" w:pos="6120"/>
          <w:tab w:val="decimal" w:pos="7330"/>
          <w:tab w:val="left" w:pos="8505"/>
          <w:tab w:val="left" w:pos="9360"/>
          <w:tab w:val="left" w:pos="10080"/>
        </w:tabs>
        <w:suppressAutoHyphens/>
        <w:ind w:left="851"/>
        <w:jc w:val="both"/>
        <w:rPr>
          <w:rFonts w:ascii="Verdana" w:hAnsi="Verdana"/>
          <w:b/>
          <w:spacing w:val="-2"/>
        </w:rPr>
      </w:pPr>
    </w:p>
    <w:p w:rsidR="00434814" w:rsidRPr="0031674A" w:rsidRDefault="00434814" w:rsidP="00434814">
      <w:pPr>
        <w:numPr>
          <w:ilvl w:val="0"/>
          <w:numId w:val="8"/>
        </w:numPr>
        <w:tabs>
          <w:tab w:val="clear" w:pos="284"/>
          <w:tab w:val="left" w:pos="-1440"/>
          <w:tab w:val="left" w:pos="-720"/>
          <w:tab w:val="num" w:pos="851"/>
          <w:tab w:val="decimal" w:pos="3902"/>
          <w:tab w:val="decimal" w:pos="5011"/>
          <w:tab w:val="decimal" w:pos="6120"/>
          <w:tab w:val="decimal" w:pos="7330"/>
          <w:tab w:val="left" w:pos="8505"/>
          <w:tab w:val="left" w:pos="9360"/>
          <w:tab w:val="left" w:pos="10080"/>
        </w:tabs>
        <w:suppressAutoHyphens/>
        <w:ind w:left="851"/>
        <w:jc w:val="both"/>
        <w:rPr>
          <w:rFonts w:ascii="Verdana" w:hAnsi="Verdana"/>
        </w:rPr>
      </w:pPr>
      <w:r w:rsidRPr="00034CDD">
        <w:rPr>
          <w:rFonts w:ascii="Verdana" w:hAnsi="Verdana"/>
          <w:b/>
          <w:spacing w:val="-2"/>
        </w:rPr>
        <w:t>Compensación por desistimiento total:</w:t>
      </w:r>
      <w:r w:rsidRPr="00034CDD">
        <w:rPr>
          <w:rFonts w:ascii="Verdana" w:hAnsi="Verdana"/>
          <w:spacing w:val="-2"/>
        </w:rPr>
        <w:t xml:space="preserve"> 0,50% sobre el capital </w:t>
      </w:r>
      <w:r>
        <w:rPr>
          <w:rFonts w:ascii="Verdana" w:hAnsi="Verdana"/>
          <w:spacing w:val="-2"/>
        </w:rPr>
        <w:t>que se amortice</w:t>
      </w:r>
      <w:r w:rsidRPr="00034CDD">
        <w:rPr>
          <w:rFonts w:ascii="Verdana" w:hAnsi="Verdana"/>
          <w:spacing w:val="-2"/>
        </w:rPr>
        <w:t xml:space="preserve"> cuando la </w:t>
      </w:r>
      <w:r>
        <w:rPr>
          <w:rFonts w:ascii="Verdana" w:hAnsi="Verdana"/>
          <w:spacing w:val="-2"/>
        </w:rPr>
        <w:t xml:space="preserve">cancelación </w:t>
      </w:r>
      <w:r w:rsidRPr="00034CDD">
        <w:rPr>
          <w:rFonts w:ascii="Verdana" w:hAnsi="Verdana"/>
          <w:spacing w:val="-2"/>
        </w:rPr>
        <w:t xml:space="preserve">anticipada se produzca dentro de los cinco primeros años del préstamo, o el 0,25% sobre el capital </w:t>
      </w:r>
      <w:r>
        <w:rPr>
          <w:rFonts w:ascii="Verdana" w:hAnsi="Verdana"/>
          <w:spacing w:val="-2"/>
        </w:rPr>
        <w:t>que se amortice</w:t>
      </w:r>
      <w:r w:rsidRPr="00034CDD">
        <w:rPr>
          <w:rFonts w:ascii="Verdana" w:hAnsi="Verdana"/>
          <w:spacing w:val="-2"/>
        </w:rPr>
        <w:t xml:space="preserve"> cuando la </w:t>
      </w:r>
      <w:r>
        <w:rPr>
          <w:rFonts w:ascii="Verdana" w:hAnsi="Verdana"/>
          <w:spacing w:val="-2"/>
        </w:rPr>
        <w:t>cancelación</w:t>
      </w:r>
      <w:r w:rsidRPr="00034CDD">
        <w:rPr>
          <w:rFonts w:ascii="Verdana" w:hAnsi="Verdana"/>
          <w:spacing w:val="-2"/>
        </w:rPr>
        <w:t xml:space="preserve"> anticipada se produzca pasados los cinco primero</w:t>
      </w:r>
      <w:r>
        <w:rPr>
          <w:rFonts w:ascii="Verdana" w:hAnsi="Verdana"/>
          <w:spacing w:val="-2"/>
        </w:rPr>
        <w:t>s</w:t>
      </w:r>
      <w:r w:rsidRPr="00034CDD">
        <w:rPr>
          <w:rFonts w:ascii="Verdana" w:hAnsi="Verdana"/>
          <w:spacing w:val="-2"/>
        </w:rPr>
        <w:t xml:space="preserve"> años del préstamo</w:t>
      </w:r>
      <w:r>
        <w:rPr>
          <w:rFonts w:ascii="Verdana" w:hAnsi="Verdana"/>
          <w:spacing w:val="-2"/>
        </w:rPr>
        <w:t xml:space="preserve"> (</w:t>
      </w:r>
      <w:r w:rsidR="00DE0494">
        <w:rPr>
          <w:rFonts w:ascii="Verdana" w:hAnsi="Verdana"/>
          <w:spacing w:val="-2"/>
        </w:rPr>
        <w:t xml:space="preserve">Ley </w:t>
      </w:r>
      <w:r>
        <w:rPr>
          <w:rFonts w:ascii="Verdana" w:hAnsi="Verdana"/>
          <w:spacing w:val="-2"/>
        </w:rPr>
        <w:t>41/2007</w:t>
      </w:r>
      <w:r w:rsidR="00807C80">
        <w:rPr>
          <w:rFonts w:ascii="Verdana" w:hAnsi="Verdana"/>
          <w:spacing w:val="-2"/>
        </w:rPr>
        <w:t xml:space="preserve"> : cuando la hipot</w:t>
      </w:r>
      <w:r w:rsidR="00DE0494">
        <w:rPr>
          <w:rFonts w:ascii="Verdana" w:hAnsi="Verdana"/>
          <w:spacing w:val="-2"/>
        </w:rPr>
        <w:t>e</w:t>
      </w:r>
      <w:r w:rsidR="00807C80">
        <w:rPr>
          <w:rFonts w:ascii="Verdana" w:hAnsi="Verdana"/>
          <w:spacing w:val="-2"/>
        </w:rPr>
        <w:t xml:space="preserve">ca sea sobre una vivienda y la parte deudora sea persona física o bien que la parte deudora sea persona jurídica y </w:t>
      </w:r>
      <w:r w:rsidR="009D31A3">
        <w:rPr>
          <w:rFonts w:ascii="Verdana" w:hAnsi="Verdana"/>
          <w:spacing w:val="-2"/>
        </w:rPr>
        <w:t xml:space="preserve">tribute por el régimen fiscal de </w:t>
      </w:r>
      <w:r w:rsidR="00807C80">
        <w:rPr>
          <w:rFonts w:ascii="Verdana" w:hAnsi="Verdana"/>
          <w:spacing w:val="-2"/>
        </w:rPr>
        <w:t>empresas de reducida dimensión en Impuesto de Sociedades</w:t>
      </w:r>
      <w:r>
        <w:rPr>
          <w:rFonts w:ascii="Verdana" w:hAnsi="Verdana"/>
          <w:spacing w:val="-2"/>
        </w:rPr>
        <w:t>).</w:t>
      </w:r>
    </w:p>
    <w:p w:rsidR="00434814" w:rsidRPr="00BC5A3D" w:rsidRDefault="00434814" w:rsidP="008760B6">
      <w:pPr>
        <w:pStyle w:val="Prrafodelista"/>
        <w:rPr>
          <w:rFonts w:ascii="Verdana" w:hAnsi="Verdana"/>
          <w:sz w:val="20"/>
          <w:szCs w:val="20"/>
          <w:lang w:val="es-ES_tradnl"/>
        </w:rPr>
      </w:pPr>
    </w:p>
    <w:p w:rsidR="00240F2D" w:rsidRDefault="00434814" w:rsidP="00434814">
      <w:pPr>
        <w:numPr>
          <w:ilvl w:val="0"/>
          <w:numId w:val="8"/>
        </w:numPr>
        <w:tabs>
          <w:tab w:val="clear" w:pos="284"/>
          <w:tab w:val="left" w:pos="-1440"/>
          <w:tab w:val="left" w:pos="-720"/>
          <w:tab w:val="num" w:pos="851"/>
          <w:tab w:val="decimal" w:pos="3902"/>
          <w:tab w:val="decimal" w:pos="5011"/>
          <w:tab w:val="decimal" w:pos="6120"/>
          <w:tab w:val="decimal" w:pos="7330"/>
          <w:tab w:val="left" w:pos="8505"/>
          <w:tab w:val="left" w:pos="9360"/>
          <w:tab w:val="left" w:pos="10080"/>
        </w:tabs>
        <w:suppressAutoHyphens/>
        <w:ind w:left="851"/>
        <w:jc w:val="both"/>
        <w:rPr>
          <w:rFonts w:ascii="Verdana" w:hAnsi="Verdana"/>
        </w:rPr>
      </w:pPr>
      <w:r w:rsidRPr="00D512F0">
        <w:rPr>
          <w:rFonts w:ascii="Verdana" w:hAnsi="Verdana"/>
          <w:b/>
        </w:rPr>
        <w:t>Compensación por riesgo de tipo de interés:</w:t>
      </w:r>
      <w:r>
        <w:rPr>
          <w:rFonts w:ascii="Verdana" w:hAnsi="Verdana"/>
        </w:rPr>
        <w:t xml:space="preserve"> (sólo en Hipoteca Fija y Mixta corres</w:t>
      </w:r>
      <w:r w:rsidR="00E06BD9">
        <w:rPr>
          <w:rFonts w:ascii="Verdana" w:hAnsi="Verdana"/>
        </w:rPr>
        <w:t xml:space="preserve">pondiente al tipo fijo de cinco, diez o quince </w:t>
      </w:r>
      <w:r>
        <w:rPr>
          <w:rFonts w:ascii="Verdana" w:hAnsi="Verdana"/>
        </w:rPr>
        <w:t>años del primer periodo). Ver apartado 2. Amortización Anticipada para préstamos a tipo de interés fijo.</w:t>
      </w:r>
    </w:p>
    <w:p w:rsidR="00434814" w:rsidRDefault="00434814" w:rsidP="00BC5A3D">
      <w:pPr>
        <w:tabs>
          <w:tab w:val="left" w:pos="-1440"/>
          <w:tab w:val="left" w:pos="-720"/>
          <w:tab w:val="decimal" w:pos="3902"/>
          <w:tab w:val="decimal" w:pos="5011"/>
          <w:tab w:val="decimal" w:pos="6120"/>
          <w:tab w:val="decimal" w:pos="7330"/>
          <w:tab w:val="left" w:pos="8505"/>
          <w:tab w:val="left" w:pos="9360"/>
          <w:tab w:val="left" w:pos="10080"/>
        </w:tabs>
        <w:suppressAutoHyphens/>
        <w:ind w:left="851"/>
        <w:jc w:val="both"/>
        <w:rPr>
          <w:rFonts w:ascii="Verdana" w:hAnsi="Verdana"/>
        </w:rPr>
      </w:pPr>
    </w:p>
    <w:p w:rsidR="00434814" w:rsidRDefault="00434814" w:rsidP="008760B6">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ind w:left="284"/>
        <w:jc w:val="both"/>
        <w:rPr>
          <w:rFonts w:ascii="Verdana" w:hAnsi="Verdana"/>
        </w:rPr>
      </w:pPr>
    </w:p>
    <w:p w:rsidR="00434814" w:rsidRDefault="00434814" w:rsidP="00B457E8">
      <w:pPr>
        <w:numPr>
          <w:ilvl w:val="0"/>
          <w:numId w:val="7"/>
        </w:numPr>
        <w:tabs>
          <w:tab w:val="left" w:pos="-1440"/>
          <w:tab w:val="left" w:pos="-720"/>
          <w:tab w:val="decimal" w:pos="3902"/>
          <w:tab w:val="decimal" w:pos="5011"/>
          <w:tab w:val="decimal" w:pos="6120"/>
          <w:tab w:val="decimal" w:pos="7330"/>
          <w:tab w:val="left" w:pos="8505"/>
          <w:tab w:val="left" w:pos="9360"/>
          <w:tab w:val="left" w:pos="10080"/>
        </w:tabs>
        <w:suppressAutoHyphens/>
        <w:ind w:left="851"/>
        <w:jc w:val="both"/>
      </w:pPr>
      <w:r>
        <w:rPr>
          <w:rFonts w:ascii="Verdana" w:hAnsi="Verdana"/>
          <w:b/>
        </w:rPr>
        <w:t>Amortización Anticipada para Préstamos a tipo de interés fijo</w:t>
      </w:r>
    </w:p>
    <w:p w:rsidR="00434814" w:rsidRDefault="00434814" w:rsidP="008760B6">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ind w:left="284"/>
        <w:jc w:val="both"/>
        <w:rPr>
          <w:rFonts w:ascii="Verdana" w:hAnsi="Verdana"/>
        </w:rPr>
      </w:pPr>
    </w:p>
    <w:tbl>
      <w:tblPr>
        <w:tblW w:w="8727" w:type="dxa"/>
        <w:tblInd w:w="699" w:type="dxa"/>
        <w:tblCellMar>
          <w:left w:w="70" w:type="dxa"/>
          <w:right w:w="70" w:type="dxa"/>
        </w:tblCellMar>
        <w:tblLook w:val="04A0" w:firstRow="1" w:lastRow="0" w:firstColumn="1" w:lastColumn="0" w:noHBand="0" w:noVBand="1"/>
      </w:tblPr>
      <w:tblGrid>
        <w:gridCol w:w="1356"/>
        <w:gridCol w:w="1701"/>
        <w:gridCol w:w="1292"/>
        <w:gridCol w:w="2535"/>
        <w:gridCol w:w="1843"/>
      </w:tblGrid>
      <w:tr w:rsidR="009C6D36" w:rsidTr="009C6D36">
        <w:trPr>
          <w:trHeight w:val="555"/>
        </w:trPr>
        <w:tc>
          <w:tcPr>
            <w:tcW w:w="1356" w:type="dxa"/>
            <w:tcBorders>
              <w:top w:val="single" w:sz="4" w:space="0" w:color="1F497D"/>
              <w:left w:val="single" w:sz="4" w:space="0" w:color="1F497D"/>
              <w:bottom w:val="single" w:sz="4" w:space="0" w:color="1F497D"/>
              <w:right w:val="single" w:sz="4" w:space="0" w:color="1F497D"/>
            </w:tcBorders>
            <w:shd w:val="clear" w:color="auto" w:fill="B8CCE4" w:themeFill="accent1" w:themeFillTint="66"/>
            <w:vAlign w:val="center"/>
            <w:hideMark/>
          </w:tcPr>
          <w:p w:rsidR="005B5A89" w:rsidRDefault="005B5A89" w:rsidP="005B5A89">
            <w:pPr>
              <w:rPr>
                <w:rFonts w:ascii="News Gothic BT" w:hAnsi="News Gothic BT" w:cs="Calibri"/>
                <w:b/>
                <w:bCs/>
                <w:color w:val="000080"/>
                <w:sz w:val="16"/>
                <w:szCs w:val="16"/>
              </w:rPr>
            </w:pPr>
            <w:r>
              <w:rPr>
                <w:rFonts w:ascii="News Gothic BT" w:hAnsi="News Gothic BT" w:cs="Calibri"/>
                <w:b/>
                <w:bCs/>
                <w:color w:val="000080"/>
                <w:sz w:val="16"/>
                <w:szCs w:val="16"/>
              </w:rPr>
              <w:t>PRÉSTAMOS CON GARANTÍA HIPOTECARIA A TIPO DE INTERÉS FIJO</w:t>
            </w:r>
          </w:p>
        </w:tc>
        <w:tc>
          <w:tcPr>
            <w:tcW w:w="1701" w:type="dxa"/>
            <w:tcBorders>
              <w:top w:val="single" w:sz="4" w:space="0" w:color="1F497D"/>
              <w:left w:val="single" w:sz="4" w:space="0" w:color="1F497D"/>
              <w:bottom w:val="single" w:sz="4" w:space="0" w:color="1F497D"/>
              <w:right w:val="single" w:sz="4" w:space="0" w:color="1F497D"/>
            </w:tcBorders>
            <w:shd w:val="clear" w:color="auto" w:fill="B8CCE4" w:themeFill="accent1" w:themeFillTint="66"/>
            <w:vAlign w:val="center"/>
          </w:tcPr>
          <w:p w:rsidR="005B5A89" w:rsidRDefault="005B5A89" w:rsidP="005B5A89">
            <w:pPr>
              <w:rPr>
                <w:rFonts w:ascii="News Gothic BT" w:hAnsi="News Gothic BT" w:cs="Calibri"/>
                <w:b/>
                <w:bCs/>
                <w:color w:val="000080"/>
                <w:sz w:val="16"/>
                <w:szCs w:val="16"/>
              </w:rPr>
            </w:pPr>
            <w:r>
              <w:rPr>
                <w:rFonts w:ascii="News Gothic BT" w:hAnsi="News Gothic BT" w:cs="Calibri"/>
                <w:b/>
                <w:bCs/>
                <w:color w:val="000080"/>
                <w:sz w:val="16"/>
                <w:szCs w:val="16"/>
              </w:rPr>
              <w:t>COMISIÓN POR AMORTIZACIÓN ANTICIPADA PARCIAL</w:t>
            </w:r>
          </w:p>
        </w:tc>
        <w:tc>
          <w:tcPr>
            <w:tcW w:w="1292" w:type="dxa"/>
            <w:tcBorders>
              <w:top w:val="single" w:sz="4" w:space="0" w:color="1F497D"/>
              <w:left w:val="single" w:sz="4" w:space="0" w:color="1F497D"/>
              <w:bottom w:val="single" w:sz="4" w:space="0" w:color="1F497D"/>
              <w:right w:val="single" w:sz="4" w:space="0" w:color="1F497D"/>
            </w:tcBorders>
            <w:shd w:val="clear" w:color="auto" w:fill="B8CCE4" w:themeFill="accent1" w:themeFillTint="66"/>
            <w:vAlign w:val="center"/>
          </w:tcPr>
          <w:p w:rsidR="005B5A89" w:rsidRDefault="005B5A89" w:rsidP="005B5A89">
            <w:pPr>
              <w:rPr>
                <w:rFonts w:ascii="News Gothic BT" w:hAnsi="News Gothic BT" w:cs="Calibri"/>
                <w:b/>
                <w:bCs/>
                <w:color w:val="000080"/>
                <w:sz w:val="16"/>
                <w:szCs w:val="16"/>
              </w:rPr>
            </w:pPr>
            <w:r>
              <w:rPr>
                <w:rFonts w:ascii="News Gothic BT" w:hAnsi="News Gothic BT" w:cs="Calibri"/>
                <w:b/>
                <w:bCs/>
                <w:color w:val="000080"/>
                <w:sz w:val="16"/>
                <w:szCs w:val="16"/>
              </w:rPr>
              <w:t>COMISIÓN POR AMORTI</w:t>
            </w:r>
            <w:r w:rsidRPr="00D26B00">
              <w:rPr>
                <w:rFonts w:ascii="News Gothic BT" w:hAnsi="News Gothic BT" w:cs="Calibri"/>
                <w:b/>
                <w:bCs/>
                <w:color w:val="000080"/>
                <w:sz w:val="16"/>
                <w:szCs w:val="16"/>
              </w:rPr>
              <w:t xml:space="preserve">ZACIÓN ANTICIPADA </w:t>
            </w:r>
            <w:r>
              <w:rPr>
                <w:rFonts w:ascii="News Gothic BT" w:hAnsi="News Gothic BT" w:cs="Calibri"/>
                <w:b/>
                <w:bCs/>
                <w:color w:val="000080"/>
                <w:sz w:val="16"/>
                <w:szCs w:val="16"/>
              </w:rPr>
              <w:t>TOTAL</w:t>
            </w:r>
          </w:p>
        </w:tc>
        <w:tc>
          <w:tcPr>
            <w:tcW w:w="2535" w:type="dxa"/>
            <w:tcBorders>
              <w:top w:val="single" w:sz="4" w:space="0" w:color="1F497D"/>
              <w:left w:val="single" w:sz="4" w:space="0" w:color="1F497D"/>
              <w:bottom w:val="single" w:sz="4" w:space="0" w:color="1F497D"/>
              <w:right w:val="single" w:sz="4" w:space="0" w:color="1F497D"/>
            </w:tcBorders>
            <w:shd w:val="clear" w:color="auto" w:fill="B8CCE4" w:themeFill="accent1" w:themeFillTint="66"/>
            <w:vAlign w:val="center"/>
          </w:tcPr>
          <w:p w:rsidR="005B5A89" w:rsidRDefault="005B5A89" w:rsidP="005B5A89">
            <w:pPr>
              <w:rPr>
                <w:rFonts w:ascii="News Gothic BT" w:hAnsi="News Gothic BT" w:cs="Calibri"/>
                <w:b/>
                <w:bCs/>
                <w:color w:val="000080"/>
                <w:sz w:val="16"/>
                <w:szCs w:val="16"/>
              </w:rPr>
            </w:pPr>
            <w:r>
              <w:rPr>
                <w:rFonts w:ascii="News Gothic BT" w:hAnsi="News Gothic BT" w:cs="Calibri"/>
                <w:b/>
                <w:bCs/>
                <w:color w:val="000080"/>
                <w:sz w:val="16"/>
                <w:szCs w:val="16"/>
              </w:rPr>
              <w:t>COMPENSACIÓN POR DESISTIMIENTO PARCIAL O TOTAL</w:t>
            </w:r>
          </w:p>
        </w:tc>
        <w:tc>
          <w:tcPr>
            <w:tcW w:w="1843" w:type="dxa"/>
            <w:tcBorders>
              <w:top w:val="single" w:sz="4" w:space="0" w:color="1F497D"/>
              <w:left w:val="single" w:sz="4" w:space="0" w:color="1F497D"/>
              <w:bottom w:val="single" w:sz="4" w:space="0" w:color="1F497D"/>
              <w:right w:val="single" w:sz="4" w:space="0" w:color="1F497D"/>
            </w:tcBorders>
            <w:shd w:val="clear" w:color="auto" w:fill="B8CCE4" w:themeFill="accent1" w:themeFillTint="66"/>
            <w:vAlign w:val="center"/>
          </w:tcPr>
          <w:p w:rsidR="005B5A89" w:rsidRDefault="005B5A89" w:rsidP="005B5A89">
            <w:pPr>
              <w:rPr>
                <w:rFonts w:ascii="News Gothic BT" w:hAnsi="News Gothic BT" w:cs="Calibri"/>
                <w:b/>
                <w:bCs/>
                <w:color w:val="000080"/>
                <w:sz w:val="16"/>
                <w:szCs w:val="16"/>
              </w:rPr>
            </w:pPr>
            <w:r>
              <w:rPr>
                <w:rFonts w:ascii="News Gothic BT" w:hAnsi="News Gothic BT" w:cs="Calibri"/>
                <w:b/>
                <w:bCs/>
                <w:color w:val="000080"/>
                <w:sz w:val="16"/>
                <w:szCs w:val="16"/>
              </w:rPr>
              <w:t>COMPENSACIÓN RIESGO TIPO DE INTERÉS</w:t>
            </w:r>
            <w:r>
              <w:t xml:space="preserve"> </w:t>
            </w:r>
            <w:r w:rsidR="00E06BD9">
              <w:t>(</w:t>
            </w:r>
            <w:r w:rsidRPr="005B5A89">
              <w:rPr>
                <w:rFonts w:ascii="News Gothic BT" w:hAnsi="News Gothic BT" w:cs="Calibri"/>
                <w:b/>
                <w:bCs/>
                <w:color w:val="000080"/>
                <w:sz w:val="16"/>
                <w:szCs w:val="16"/>
              </w:rPr>
              <w:t>dentro de un período de revisión de tipo de interés cuya duración pactada sea superior a doce meses</w:t>
            </w:r>
            <w:r w:rsidR="00E06BD9">
              <w:rPr>
                <w:rFonts w:ascii="News Gothic BT" w:hAnsi="News Gothic BT" w:cs="Calibri"/>
                <w:b/>
                <w:bCs/>
                <w:color w:val="000080"/>
                <w:sz w:val="16"/>
                <w:szCs w:val="16"/>
              </w:rPr>
              <w:t>)</w:t>
            </w:r>
          </w:p>
        </w:tc>
      </w:tr>
      <w:tr w:rsidR="009C6D36" w:rsidTr="009C6D36">
        <w:trPr>
          <w:trHeight w:val="300"/>
        </w:trPr>
        <w:tc>
          <w:tcPr>
            <w:tcW w:w="1356" w:type="dxa"/>
            <w:tcBorders>
              <w:top w:val="single" w:sz="4" w:space="0" w:color="1F497D"/>
              <w:left w:val="single" w:sz="4" w:space="0" w:color="1F497D"/>
              <w:bottom w:val="single" w:sz="4" w:space="0" w:color="1F497D"/>
              <w:right w:val="single" w:sz="4" w:space="0" w:color="1F497D"/>
            </w:tcBorders>
            <w:shd w:val="clear" w:color="000000" w:fill="EEECE1"/>
            <w:vAlign w:val="center"/>
            <w:hideMark/>
          </w:tcPr>
          <w:p w:rsidR="005B5A89" w:rsidRDefault="005B5A89" w:rsidP="005B5A89">
            <w:pPr>
              <w:rPr>
                <w:rFonts w:ascii="News Gothic BT" w:hAnsi="News Gothic BT" w:cs="Calibri"/>
                <w:b/>
                <w:bCs/>
                <w:color w:val="000080"/>
                <w:sz w:val="16"/>
                <w:szCs w:val="16"/>
              </w:rPr>
            </w:pPr>
            <w:r>
              <w:rPr>
                <w:rFonts w:ascii="News Gothic BT" w:hAnsi="News Gothic BT" w:cs="Calibri"/>
                <w:b/>
                <w:bCs/>
                <w:color w:val="000080"/>
                <w:sz w:val="16"/>
                <w:szCs w:val="16"/>
              </w:rPr>
              <w:t xml:space="preserve">FIJA </w:t>
            </w:r>
          </w:p>
        </w:tc>
        <w:tc>
          <w:tcPr>
            <w:tcW w:w="1701" w:type="dxa"/>
            <w:tcBorders>
              <w:top w:val="single" w:sz="4" w:space="0" w:color="1F497D"/>
              <w:left w:val="single" w:sz="4" w:space="0" w:color="1F497D"/>
              <w:bottom w:val="single" w:sz="4" w:space="0" w:color="1F497D"/>
              <w:right w:val="single" w:sz="4" w:space="0" w:color="1F497D"/>
            </w:tcBorders>
            <w:shd w:val="clear" w:color="000000" w:fill="EEECE1"/>
            <w:vAlign w:val="center"/>
          </w:tcPr>
          <w:p w:rsidR="005B5A89" w:rsidRDefault="005B5A89" w:rsidP="005B5A89">
            <w:pPr>
              <w:rPr>
                <w:rFonts w:ascii="News Gothic BT" w:hAnsi="News Gothic BT" w:cs="Calibri"/>
                <w:b/>
                <w:bCs/>
                <w:color w:val="000080"/>
                <w:sz w:val="16"/>
                <w:szCs w:val="16"/>
              </w:rPr>
            </w:pPr>
            <w:r>
              <w:rPr>
                <w:rFonts w:ascii="News Gothic BT" w:hAnsi="News Gothic BT" w:cs="Calibri"/>
                <w:b/>
                <w:bCs/>
                <w:color w:val="000080"/>
                <w:sz w:val="16"/>
                <w:szCs w:val="16"/>
              </w:rPr>
              <w:t>1,00 %</w:t>
            </w:r>
          </w:p>
        </w:tc>
        <w:tc>
          <w:tcPr>
            <w:tcW w:w="1292" w:type="dxa"/>
            <w:tcBorders>
              <w:top w:val="single" w:sz="4" w:space="0" w:color="1F497D"/>
              <w:left w:val="single" w:sz="4" w:space="0" w:color="1F497D"/>
              <w:bottom w:val="single" w:sz="4" w:space="0" w:color="1F497D"/>
              <w:right w:val="single" w:sz="4" w:space="0" w:color="1F497D"/>
            </w:tcBorders>
            <w:shd w:val="clear" w:color="000000" w:fill="EEECE1"/>
            <w:vAlign w:val="center"/>
          </w:tcPr>
          <w:p w:rsidR="005B5A89" w:rsidRDefault="005B5A89" w:rsidP="005B5A89">
            <w:pPr>
              <w:rPr>
                <w:rFonts w:ascii="News Gothic BT" w:hAnsi="News Gothic BT" w:cs="Calibri"/>
                <w:b/>
                <w:bCs/>
                <w:color w:val="000080"/>
                <w:sz w:val="16"/>
                <w:szCs w:val="16"/>
              </w:rPr>
            </w:pPr>
            <w:r>
              <w:rPr>
                <w:rFonts w:ascii="News Gothic BT" w:hAnsi="News Gothic BT" w:cs="Calibri"/>
                <w:b/>
                <w:bCs/>
                <w:color w:val="000080"/>
                <w:sz w:val="16"/>
                <w:szCs w:val="16"/>
              </w:rPr>
              <w:t>2,00 %</w:t>
            </w:r>
          </w:p>
        </w:tc>
        <w:tc>
          <w:tcPr>
            <w:tcW w:w="2535" w:type="dxa"/>
            <w:tcBorders>
              <w:top w:val="single" w:sz="4" w:space="0" w:color="1F497D"/>
              <w:left w:val="single" w:sz="4" w:space="0" w:color="1F497D"/>
              <w:bottom w:val="single" w:sz="4" w:space="0" w:color="1F497D"/>
              <w:right w:val="single" w:sz="4" w:space="0" w:color="1F497D"/>
            </w:tcBorders>
            <w:shd w:val="clear" w:color="000000" w:fill="EEECE1"/>
            <w:vAlign w:val="center"/>
          </w:tcPr>
          <w:p w:rsidR="005B5A89" w:rsidRDefault="005B5A89" w:rsidP="005B5A89">
            <w:pPr>
              <w:rPr>
                <w:rFonts w:ascii="News Gothic BT" w:hAnsi="News Gothic BT" w:cs="Calibri"/>
                <w:b/>
                <w:bCs/>
                <w:color w:val="000080"/>
                <w:sz w:val="16"/>
                <w:szCs w:val="16"/>
              </w:rPr>
            </w:pPr>
            <w:r>
              <w:rPr>
                <w:rFonts w:ascii="News Gothic BT" w:hAnsi="News Gothic BT" w:cs="Calibri"/>
                <w:b/>
                <w:bCs/>
                <w:color w:val="000080"/>
                <w:sz w:val="16"/>
                <w:szCs w:val="16"/>
              </w:rPr>
              <w:t xml:space="preserve">0,50 % 5 PRIMEROS AÑOS Y </w:t>
            </w:r>
          </w:p>
          <w:p w:rsidR="005B5A89" w:rsidRDefault="005B5A89" w:rsidP="005B5A89">
            <w:pPr>
              <w:rPr>
                <w:rFonts w:ascii="News Gothic BT" w:hAnsi="News Gothic BT" w:cs="Calibri"/>
                <w:b/>
                <w:bCs/>
                <w:color w:val="000080"/>
                <w:sz w:val="16"/>
                <w:szCs w:val="16"/>
              </w:rPr>
            </w:pPr>
            <w:r>
              <w:rPr>
                <w:rFonts w:ascii="News Gothic BT" w:hAnsi="News Gothic BT" w:cs="Calibri"/>
                <w:b/>
                <w:bCs/>
                <w:color w:val="000080"/>
                <w:sz w:val="16"/>
                <w:szCs w:val="16"/>
              </w:rPr>
              <w:t>0,25 % PASADOS LOS 5 PRIMEROS AÑOS</w:t>
            </w:r>
          </w:p>
        </w:tc>
        <w:tc>
          <w:tcPr>
            <w:tcW w:w="1843" w:type="dxa"/>
            <w:tcBorders>
              <w:top w:val="single" w:sz="4" w:space="0" w:color="1F497D"/>
              <w:left w:val="single" w:sz="4" w:space="0" w:color="1F497D"/>
              <w:bottom w:val="single" w:sz="4" w:space="0" w:color="1F497D"/>
              <w:right w:val="single" w:sz="4" w:space="0" w:color="1F497D"/>
            </w:tcBorders>
            <w:shd w:val="clear" w:color="000000" w:fill="EEECE1"/>
            <w:vAlign w:val="center"/>
          </w:tcPr>
          <w:p w:rsidR="005B5A89" w:rsidRDefault="005B5A89" w:rsidP="005B5A89">
            <w:pPr>
              <w:rPr>
                <w:rFonts w:ascii="News Gothic BT" w:hAnsi="News Gothic BT" w:cs="Calibri"/>
                <w:b/>
                <w:bCs/>
                <w:color w:val="000080"/>
                <w:sz w:val="16"/>
                <w:szCs w:val="16"/>
              </w:rPr>
            </w:pPr>
            <w:r>
              <w:rPr>
                <w:rFonts w:ascii="News Gothic BT" w:hAnsi="News Gothic BT" w:cs="Calibri"/>
                <w:b/>
                <w:bCs/>
                <w:color w:val="000080"/>
                <w:sz w:val="16"/>
                <w:szCs w:val="16"/>
              </w:rPr>
              <w:t>1,00 %</w:t>
            </w:r>
          </w:p>
        </w:tc>
      </w:tr>
    </w:tbl>
    <w:p w:rsidR="00434814" w:rsidRDefault="00434814" w:rsidP="008760B6">
      <w:pPr>
        <w:pStyle w:val="Prrafodelista"/>
        <w:ind w:left="284"/>
        <w:rPr>
          <w:rFonts w:ascii="Verdana" w:hAnsi="Verdana"/>
          <w:sz w:val="20"/>
          <w:szCs w:val="20"/>
        </w:rPr>
      </w:pPr>
    </w:p>
    <w:p w:rsidR="00434814" w:rsidRDefault="00434814" w:rsidP="00434814">
      <w:pPr>
        <w:numPr>
          <w:ilvl w:val="0"/>
          <w:numId w:val="9"/>
        </w:numPr>
        <w:tabs>
          <w:tab w:val="clear" w:pos="284"/>
          <w:tab w:val="left" w:pos="-1440"/>
          <w:tab w:val="left" w:pos="-720"/>
          <w:tab w:val="num" w:pos="851"/>
          <w:tab w:val="left" w:pos="2393"/>
          <w:tab w:val="decimal" w:pos="3902"/>
          <w:tab w:val="decimal" w:pos="5011"/>
          <w:tab w:val="decimal" w:pos="6120"/>
          <w:tab w:val="decimal" w:pos="7330"/>
          <w:tab w:val="left" w:pos="8505"/>
          <w:tab w:val="left" w:pos="9360"/>
          <w:tab w:val="left" w:pos="10080"/>
        </w:tabs>
        <w:suppressAutoHyphens/>
        <w:ind w:left="851"/>
        <w:jc w:val="both"/>
        <w:rPr>
          <w:rFonts w:ascii="Verdana" w:hAnsi="Verdana"/>
          <w:spacing w:val="-2"/>
        </w:rPr>
      </w:pPr>
      <w:r w:rsidRPr="00D018C6">
        <w:rPr>
          <w:rFonts w:ascii="Verdana" w:hAnsi="Verdana"/>
          <w:b/>
          <w:spacing w:val="-2"/>
        </w:rPr>
        <w:t>Comisión por amortización anticipada parcial</w:t>
      </w:r>
      <w:r w:rsidRPr="00D018C6">
        <w:rPr>
          <w:rFonts w:ascii="Verdana" w:hAnsi="Verdana"/>
          <w:spacing w:val="-2"/>
        </w:rPr>
        <w:t xml:space="preserve">: 1,00% sobre el capital </w:t>
      </w:r>
      <w:r>
        <w:rPr>
          <w:rFonts w:ascii="Verdana" w:hAnsi="Verdana"/>
          <w:spacing w:val="-2"/>
        </w:rPr>
        <w:t>que se amortice</w:t>
      </w:r>
      <w:r w:rsidRPr="00D018C6">
        <w:rPr>
          <w:rFonts w:ascii="Verdana" w:hAnsi="Verdana"/>
          <w:spacing w:val="-2"/>
        </w:rPr>
        <w:t>, a satisfacer por el deudor en el momento de la amortización.</w:t>
      </w:r>
    </w:p>
    <w:p w:rsidR="00434814" w:rsidRPr="00D018C6" w:rsidRDefault="00434814" w:rsidP="008760B6">
      <w:pPr>
        <w:tabs>
          <w:tab w:val="left" w:pos="-1440"/>
          <w:tab w:val="left" w:pos="-720"/>
          <w:tab w:val="num" w:pos="851"/>
          <w:tab w:val="left" w:pos="2393"/>
          <w:tab w:val="decimal" w:pos="3902"/>
          <w:tab w:val="decimal" w:pos="5011"/>
          <w:tab w:val="decimal" w:pos="6120"/>
          <w:tab w:val="decimal" w:pos="7330"/>
          <w:tab w:val="left" w:pos="8505"/>
          <w:tab w:val="left" w:pos="9360"/>
          <w:tab w:val="left" w:pos="10080"/>
        </w:tabs>
        <w:suppressAutoHyphens/>
        <w:ind w:left="851"/>
        <w:jc w:val="both"/>
        <w:rPr>
          <w:rFonts w:ascii="Verdana" w:hAnsi="Verdana"/>
          <w:spacing w:val="-2"/>
        </w:rPr>
      </w:pPr>
    </w:p>
    <w:p w:rsidR="00434814" w:rsidRDefault="00434814" w:rsidP="00434814">
      <w:pPr>
        <w:numPr>
          <w:ilvl w:val="0"/>
          <w:numId w:val="9"/>
        </w:numPr>
        <w:tabs>
          <w:tab w:val="clear" w:pos="284"/>
          <w:tab w:val="left" w:pos="-1440"/>
          <w:tab w:val="left" w:pos="-720"/>
          <w:tab w:val="num" w:pos="851"/>
          <w:tab w:val="left" w:pos="2393"/>
          <w:tab w:val="decimal" w:pos="3902"/>
          <w:tab w:val="decimal" w:pos="5011"/>
          <w:tab w:val="decimal" w:pos="6120"/>
          <w:tab w:val="decimal" w:pos="7330"/>
          <w:tab w:val="left" w:pos="8505"/>
          <w:tab w:val="left" w:pos="9360"/>
          <w:tab w:val="left" w:pos="10080"/>
        </w:tabs>
        <w:suppressAutoHyphens/>
        <w:ind w:left="851"/>
        <w:jc w:val="both"/>
        <w:rPr>
          <w:rFonts w:ascii="Verdana" w:hAnsi="Verdana"/>
          <w:spacing w:val="-2"/>
        </w:rPr>
      </w:pPr>
      <w:r w:rsidRPr="00D018C6">
        <w:rPr>
          <w:rFonts w:ascii="Verdana" w:hAnsi="Verdana"/>
          <w:b/>
          <w:spacing w:val="-2"/>
        </w:rPr>
        <w:t>Comisión por amortización anticipada total:</w:t>
      </w:r>
      <w:r w:rsidRPr="00D018C6">
        <w:rPr>
          <w:rFonts w:ascii="Verdana" w:hAnsi="Verdana"/>
          <w:spacing w:val="-2"/>
        </w:rPr>
        <w:t xml:space="preserve"> 2,00% sobre el capital pendiente de amortización, a satisfacer por el deudor en el momento de la cancelación.</w:t>
      </w:r>
    </w:p>
    <w:p w:rsidR="00434814" w:rsidRPr="00D018C6" w:rsidRDefault="00434814" w:rsidP="008760B6">
      <w:pPr>
        <w:tabs>
          <w:tab w:val="left" w:pos="-1440"/>
          <w:tab w:val="left" w:pos="-720"/>
          <w:tab w:val="num" w:pos="851"/>
          <w:tab w:val="left" w:pos="2393"/>
          <w:tab w:val="decimal" w:pos="3902"/>
          <w:tab w:val="decimal" w:pos="5011"/>
          <w:tab w:val="decimal" w:pos="6120"/>
          <w:tab w:val="decimal" w:pos="7330"/>
          <w:tab w:val="left" w:pos="8505"/>
          <w:tab w:val="left" w:pos="9360"/>
          <w:tab w:val="left" w:pos="10080"/>
        </w:tabs>
        <w:suppressAutoHyphens/>
        <w:ind w:left="851"/>
        <w:jc w:val="both"/>
        <w:rPr>
          <w:rFonts w:ascii="Verdana" w:hAnsi="Verdana"/>
          <w:spacing w:val="-2"/>
        </w:rPr>
      </w:pPr>
    </w:p>
    <w:p w:rsidR="00434814" w:rsidRDefault="00434814" w:rsidP="00434814">
      <w:pPr>
        <w:numPr>
          <w:ilvl w:val="0"/>
          <w:numId w:val="9"/>
        </w:numPr>
        <w:tabs>
          <w:tab w:val="clear" w:pos="284"/>
          <w:tab w:val="left" w:pos="-1440"/>
          <w:tab w:val="left" w:pos="-720"/>
          <w:tab w:val="num" w:pos="851"/>
          <w:tab w:val="left" w:pos="2393"/>
          <w:tab w:val="decimal" w:pos="3902"/>
          <w:tab w:val="decimal" w:pos="5011"/>
          <w:tab w:val="decimal" w:pos="6120"/>
          <w:tab w:val="decimal" w:pos="7330"/>
          <w:tab w:val="left" w:pos="8505"/>
          <w:tab w:val="left" w:pos="9360"/>
          <w:tab w:val="left" w:pos="10080"/>
        </w:tabs>
        <w:suppressAutoHyphens/>
        <w:ind w:left="851"/>
        <w:jc w:val="both"/>
        <w:rPr>
          <w:rFonts w:ascii="Verdana" w:hAnsi="Verdana"/>
          <w:spacing w:val="-2"/>
        </w:rPr>
      </w:pPr>
      <w:r w:rsidRPr="00D018C6">
        <w:rPr>
          <w:rFonts w:ascii="Verdana" w:hAnsi="Verdana"/>
          <w:b/>
          <w:spacing w:val="-2"/>
        </w:rPr>
        <w:t>Compensación por desistimiento parcial o total:</w:t>
      </w:r>
      <w:r w:rsidRPr="00D018C6">
        <w:rPr>
          <w:rFonts w:ascii="Verdana" w:hAnsi="Verdana"/>
          <w:spacing w:val="-2"/>
        </w:rPr>
        <w:t xml:space="preserve"> 0,50% sobre el capital </w:t>
      </w:r>
      <w:r>
        <w:rPr>
          <w:rFonts w:ascii="Verdana" w:hAnsi="Verdana"/>
          <w:spacing w:val="-2"/>
        </w:rPr>
        <w:t xml:space="preserve">que se amortice </w:t>
      </w:r>
      <w:r w:rsidRPr="00D018C6">
        <w:rPr>
          <w:rFonts w:ascii="Verdana" w:hAnsi="Verdana"/>
          <w:spacing w:val="-2"/>
        </w:rPr>
        <w:t xml:space="preserve">cuando la amortización anticipada se produzca dentro de los cinco primeros años del préstamo, o el 0,25% sobre el capital </w:t>
      </w:r>
      <w:r>
        <w:rPr>
          <w:rFonts w:ascii="Verdana" w:hAnsi="Verdana"/>
          <w:spacing w:val="-2"/>
        </w:rPr>
        <w:t>que se amortice</w:t>
      </w:r>
      <w:r w:rsidRPr="00D018C6">
        <w:rPr>
          <w:rFonts w:ascii="Verdana" w:hAnsi="Verdana"/>
          <w:spacing w:val="-2"/>
        </w:rPr>
        <w:t xml:space="preserve"> cuando la amortización anticipada se produzca pasados los cinco primero años del préstamo.</w:t>
      </w:r>
      <w:r w:rsidRPr="0095685C">
        <w:rPr>
          <w:rFonts w:ascii="Verdana" w:hAnsi="Verdana"/>
          <w:spacing w:val="-2"/>
        </w:rPr>
        <w:t>(</w:t>
      </w:r>
      <w:r w:rsidR="00DE0494">
        <w:rPr>
          <w:rFonts w:ascii="Verdana" w:hAnsi="Verdana"/>
          <w:spacing w:val="-2"/>
        </w:rPr>
        <w:t>L</w:t>
      </w:r>
      <w:r w:rsidRPr="0095685C">
        <w:rPr>
          <w:rFonts w:ascii="Verdana" w:hAnsi="Verdana"/>
          <w:spacing w:val="-2"/>
        </w:rPr>
        <w:t>ey 41/2007</w:t>
      </w:r>
      <w:r w:rsidR="00DE0494">
        <w:rPr>
          <w:rFonts w:ascii="Verdana" w:hAnsi="Verdana"/>
          <w:spacing w:val="-2"/>
        </w:rPr>
        <w:t xml:space="preserve">: cuando la hipoteca sea sobre una vivienda y la parte deudora sea persona física o bien que la parte deudora sea persona jurídica y </w:t>
      </w:r>
      <w:r w:rsidR="009D31A3">
        <w:rPr>
          <w:rFonts w:ascii="Verdana" w:hAnsi="Verdana"/>
          <w:spacing w:val="-2"/>
        </w:rPr>
        <w:t xml:space="preserve">tribute por el régimen fiscal de </w:t>
      </w:r>
      <w:r w:rsidR="00DE0494">
        <w:rPr>
          <w:rFonts w:ascii="Verdana" w:hAnsi="Verdana"/>
          <w:spacing w:val="-2"/>
        </w:rPr>
        <w:t>empresas de reducida dimensión en Impuesto de Sociedades</w:t>
      </w:r>
      <w:r w:rsidRPr="0095685C">
        <w:rPr>
          <w:rFonts w:ascii="Verdana" w:hAnsi="Verdana"/>
          <w:spacing w:val="-2"/>
        </w:rPr>
        <w:t>).</w:t>
      </w:r>
    </w:p>
    <w:p w:rsidR="00434814" w:rsidRDefault="00434814" w:rsidP="008760B6">
      <w:pPr>
        <w:pStyle w:val="Prrafodelista"/>
        <w:tabs>
          <w:tab w:val="num" w:pos="851"/>
        </w:tabs>
        <w:ind w:left="851"/>
        <w:rPr>
          <w:rFonts w:ascii="Verdana" w:hAnsi="Verdana"/>
          <w:spacing w:val="-2"/>
          <w:sz w:val="20"/>
          <w:szCs w:val="20"/>
        </w:rPr>
      </w:pPr>
    </w:p>
    <w:p w:rsidR="00434814" w:rsidRPr="00E37AE3" w:rsidRDefault="00434814" w:rsidP="00434814">
      <w:pPr>
        <w:numPr>
          <w:ilvl w:val="0"/>
          <w:numId w:val="9"/>
        </w:numPr>
        <w:tabs>
          <w:tab w:val="clear" w:pos="284"/>
          <w:tab w:val="num" w:pos="851"/>
        </w:tabs>
        <w:ind w:left="851"/>
        <w:jc w:val="both"/>
        <w:rPr>
          <w:rFonts w:ascii="Verdana" w:hAnsi="Verdana"/>
        </w:rPr>
      </w:pPr>
      <w:r w:rsidRPr="00034CDD">
        <w:rPr>
          <w:rFonts w:ascii="Verdana" w:hAnsi="Verdana"/>
          <w:b/>
        </w:rPr>
        <w:t>Compensación por riesgo de interés:</w:t>
      </w:r>
      <w:r w:rsidRPr="00034CDD">
        <w:rPr>
          <w:rFonts w:ascii="Verdana" w:hAnsi="Verdana"/>
        </w:rPr>
        <w:t xml:space="preserve"> </w:t>
      </w:r>
      <w:r w:rsidRPr="00034CDD">
        <w:rPr>
          <w:rFonts w:ascii="Verdana" w:hAnsi="Verdana" w:cs="Arial"/>
        </w:rPr>
        <w:t>En aquellos casos en que se produzca una cancelación subrogatoria o no subrogatoria, parcial o total, dentro de un período de revisión de tipo de interés cuya duración pactada sea superior a doce meses, y en los que no se ha</w:t>
      </w:r>
      <w:r>
        <w:rPr>
          <w:rFonts w:ascii="Verdana" w:hAnsi="Verdana" w:cs="Arial"/>
        </w:rPr>
        <w:t>y</w:t>
      </w:r>
      <w:r w:rsidRPr="00034CDD">
        <w:rPr>
          <w:rFonts w:ascii="Verdana" w:hAnsi="Verdana" w:cs="Arial"/>
        </w:rPr>
        <w:t xml:space="preserve">a pactado la revisión del tipo de interés, se percibirá una compensación por riesgo, de conformidad con lo que a continuación se indica. En caso de amortización anticipada total o parcial, que genere una pérdida de capital a la entidad, entendida ésta como la diferencia negativa entre el capital pendiente en el momento de la amortización anticipada y el valor de mercado de la operación, la parte deudora satisfará a la entidad una compensación por riesgo de tipos de interés del </w:t>
      </w:r>
      <w:r w:rsidR="00DE0494">
        <w:rPr>
          <w:rFonts w:ascii="Verdana" w:hAnsi="Verdana" w:cs="Arial"/>
          <w:b/>
        </w:rPr>
        <w:t>1,00</w:t>
      </w:r>
      <w:r w:rsidR="0096321E">
        <w:rPr>
          <w:rFonts w:ascii="Verdana" w:hAnsi="Verdana" w:cs="Arial"/>
          <w:b/>
        </w:rPr>
        <w:t xml:space="preserve"> </w:t>
      </w:r>
      <w:r w:rsidRPr="00034CDD">
        <w:rPr>
          <w:rFonts w:ascii="Verdana" w:hAnsi="Verdana" w:cs="Arial"/>
        </w:rPr>
        <w:t xml:space="preserve">por ciento, sobre el capital amortizado anticipadamente. </w:t>
      </w:r>
      <w:r w:rsidRPr="00E37AE3">
        <w:rPr>
          <w:rFonts w:ascii="Verdana" w:hAnsi="Verdana"/>
        </w:rPr>
        <w:t>Para el cálculo del valor de mercado y, en su caso, de la consiguiente compensación por riesgo de tipo de interés a los que se refiere el artículo 9.2 de la ley 41/2007 de 7 de diciembre y también la circular 5/2012 de 27 de junio, en su capítulo VI y norma decimoquinta,  se considerarán índices o tipos de interés de referencia, los tipos Interest Rate Swap (IRS) a los plazos de 2, 3, 4, 5, 7, 10, 15, 20 y 30 años que publicará el Banco de España y a los que se añadirá un diferencial.</w:t>
      </w:r>
    </w:p>
    <w:p w:rsidR="00434814" w:rsidRPr="00E37AE3" w:rsidRDefault="00434814" w:rsidP="008760B6">
      <w:pPr>
        <w:tabs>
          <w:tab w:val="num" w:pos="851"/>
        </w:tabs>
        <w:ind w:left="851"/>
        <w:jc w:val="both"/>
        <w:rPr>
          <w:rFonts w:ascii="Verdana" w:hAnsi="Verdana"/>
        </w:rPr>
      </w:pPr>
      <w:r w:rsidRPr="00E37AE3">
        <w:rPr>
          <w:rFonts w:ascii="Verdana" w:hAnsi="Verdana"/>
        </w:rPr>
        <w:t>La cuantía de este diferencial será la que resulte de sustraer al tipo medio de los préstamos hipotecarios de más de tres años, para la adquisición de vivienda libre, concedidos por las entidades de crédito en España, el valor del tipo de Interest Rate Swap (IRS) al plazo de 1 año.</w:t>
      </w:r>
    </w:p>
    <w:p w:rsidR="006F74ED" w:rsidRDefault="00434814" w:rsidP="008760B6">
      <w:pPr>
        <w:pStyle w:val="Textoindependiente"/>
        <w:widowControl w:val="0"/>
        <w:tabs>
          <w:tab w:val="num" w:pos="851"/>
          <w:tab w:val="right" w:pos="7937"/>
        </w:tabs>
        <w:ind w:left="851"/>
        <w:jc w:val="both"/>
        <w:rPr>
          <w:rFonts w:ascii="Verdana" w:hAnsi="Verdana"/>
          <w:sz w:val="20"/>
          <w:szCs w:val="20"/>
        </w:rPr>
      </w:pPr>
      <w:r w:rsidRPr="00E37AE3">
        <w:rPr>
          <w:rFonts w:ascii="Verdana" w:hAnsi="Verdana"/>
          <w:sz w:val="20"/>
          <w:szCs w:val="20"/>
          <w:lang w:val="es-ES_tradnl"/>
        </w:rPr>
        <w:t>Para la realización de los cálculos se utilizarán los últimos valores publicados de cada uno de los índices o tipos de referencia, a condición de que todos ellos vengan referidos al mismo mes. Consecuentemente, se utilizarán los valores correspondientes al mes más cercano al de la cancelación o amortización anticipada para el que se hayan publicado valores para los índices o tipos de referencia que hubieran de tomarse en consideración.</w:t>
      </w:r>
      <w:r w:rsidRPr="00E37AE3">
        <w:rPr>
          <w:rFonts w:ascii="Verdana" w:hAnsi="Verdana"/>
          <w:sz w:val="20"/>
          <w:szCs w:val="20"/>
        </w:rPr>
        <w:t xml:space="preserve"> </w:t>
      </w:r>
    </w:p>
    <w:p w:rsidR="00B153F3" w:rsidRDefault="00B153F3">
      <w:pPr>
        <w:rPr>
          <w:rFonts w:ascii="Verdana" w:hAnsi="Verdana"/>
          <w:lang w:val="es-ES"/>
        </w:rPr>
      </w:pPr>
    </w:p>
    <w:p w:rsidR="00434814" w:rsidRDefault="003F2179" w:rsidP="008760B6">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jc w:val="both"/>
        <w:rPr>
          <w:rFonts w:ascii="Verdana" w:hAnsi="Verdana"/>
        </w:rPr>
      </w:pPr>
      <w:r>
        <w:rPr>
          <w:rFonts w:ascii="Verdana" w:hAnsi="Verdana"/>
          <w:noProof/>
        </w:rPr>
        <w:pict>
          <v:rect id="_x0000_s1033" style="position:absolute;left:0;text-align:left;margin-left:-4.8pt;margin-top:4pt;width:498.75pt;height:22.15pt;z-index:251666432" fillcolor="#4f81bd">
            <v:textbox style="mso-next-textbox:#_x0000_s1033">
              <w:txbxContent>
                <w:p w:rsidR="00C90EE5" w:rsidRPr="00750752" w:rsidRDefault="00C90EE5" w:rsidP="008760B6">
                  <w:pPr>
                    <w:rPr>
                      <w:rFonts w:ascii="Verdana" w:hAnsi="Verdana"/>
                      <w:color w:val="FFFFFF"/>
                    </w:rPr>
                  </w:pPr>
                  <w:r>
                    <w:rPr>
                      <w:rFonts w:ascii="Verdana" w:hAnsi="Verdana"/>
                      <w:color w:val="FFFFFF"/>
                    </w:rPr>
                    <w:t>Código de Buenas Prácticas</w:t>
                  </w:r>
                </w:p>
              </w:txbxContent>
            </v:textbox>
          </v:rect>
        </w:pict>
      </w:r>
    </w:p>
    <w:p w:rsidR="00434814" w:rsidRDefault="00434814" w:rsidP="008760B6">
      <w:pPr>
        <w:pStyle w:val="Prrafodelista"/>
        <w:rPr>
          <w:rFonts w:ascii="Verdana" w:hAnsi="Verdana"/>
          <w:sz w:val="20"/>
          <w:szCs w:val="20"/>
        </w:rPr>
      </w:pPr>
    </w:p>
    <w:p w:rsidR="00434814" w:rsidRDefault="00434814" w:rsidP="008760B6">
      <w:pPr>
        <w:pStyle w:val="Prrafodelista"/>
        <w:rPr>
          <w:rFonts w:ascii="Verdana" w:hAnsi="Verdana"/>
          <w:sz w:val="20"/>
          <w:szCs w:val="20"/>
        </w:rPr>
      </w:pPr>
    </w:p>
    <w:p w:rsidR="00434814" w:rsidRDefault="00434814" w:rsidP="008760B6">
      <w:pPr>
        <w:pStyle w:val="Prrafodelista"/>
        <w:ind w:left="567"/>
        <w:jc w:val="both"/>
        <w:rPr>
          <w:rFonts w:ascii="Verdana" w:hAnsi="Verdana"/>
          <w:sz w:val="20"/>
          <w:szCs w:val="20"/>
        </w:rPr>
      </w:pPr>
      <w:r>
        <w:rPr>
          <w:rFonts w:ascii="Verdana" w:hAnsi="Verdana"/>
          <w:sz w:val="20"/>
          <w:szCs w:val="20"/>
        </w:rPr>
        <w:t>Caja de Ingenieros – Caixa d’Enginyers, S. Coop de Crédito se encuentra adherida al Código de Buenas Prácticas para la reestructuración viable de las deudas con garantía hipotecaria sobre la vivienda habitual establecido por el Real Decreto-ley 6/2012, de 9 de marzo, de medidas urgentes de protección de deudores hipotecarios sin recursos (modificada por la Ley 1/2013, de 14 de mayo, de medidas urgentes de protección a los deudores hipotecarios, reestructuración de deuda y alquiler social</w:t>
      </w:r>
      <w:r w:rsidR="00601751">
        <w:rPr>
          <w:rFonts w:ascii="Verdana" w:hAnsi="Verdana"/>
          <w:sz w:val="20"/>
          <w:szCs w:val="20"/>
        </w:rPr>
        <w:t xml:space="preserve"> </w:t>
      </w:r>
      <w:r w:rsidR="00601751" w:rsidRPr="00601751">
        <w:rPr>
          <w:rFonts w:ascii="Verdana" w:hAnsi="Verdana"/>
          <w:sz w:val="20"/>
          <w:szCs w:val="20"/>
        </w:rPr>
        <w:t>y el Real decreto Ley 5/2017, de 17 de marzo, que también modifica la ley 1/2013</w:t>
      </w:r>
      <w:r>
        <w:rPr>
          <w:rFonts w:ascii="Verdana" w:hAnsi="Verdana"/>
          <w:sz w:val="20"/>
          <w:szCs w:val="20"/>
        </w:rPr>
        <w:t>), dentro del cual se establecen diversos mecanismos conducentes a permitir la reestructuración de la deuda hipotecaria de quienes padecen extraordinarias dificultades para atender el pago, así como la flexibilización de la ejecución de la garantía real.</w:t>
      </w:r>
    </w:p>
    <w:p w:rsidR="00434814" w:rsidRDefault="00434814" w:rsidP="008760B6">
      <w:pPr>
        <w:pStyle w:val="Prrafodelista"/>
        <w:ind w:left="567"/>
        <w:jc w:val="both"/>
        <w:rPr>
          <w:rFonts w:ascii="Verdana" w:hAnsi="Verdana"/>
          <w:sz w:val="20"/>
          <w:szCs w:val="20"/>
        </w:rPr>
      </w:pPr>
    </w:p>
    <w:p w:rsidR="00434814" w:rsidRDefault="00434814" w:rsidP="008760B6">
      <w:pPr>
        <w:pStyle w:val="Prrafodelista"/>
        <w:ind w:left="567"/>
        <w:jc w:val="both"/>
        <w:rPr>
          <w:rFonts w:ascii="Verdana" w:hAnsi="Verdana"/>
          <w:sz w:val="20"/>
          <w:szCs w:val="20"/>
        </w:rPr>
      </w:pPr>
      <w:r>
        <w:rPr>
          <w:rFonts w:ascii="Verdana" w:hAnsi="Verdana"/>
          <w:sz w:val="20"/>
          <w:szCs w:val="20"/>
        </w:rPr>
        <w:t>En dicho código se establecen tres fases de actuación:</w:t>
      </w:r>
    </w:p>
    <w:p w:rsidR="00434814" w:rsidRDefault="00434814" w:rsidP="008760B6">
      <w:pPr>
        <w:pStyle w:val="Prrafodelista"/>
        <w:ind w:left="567"/>
        <w:jc w:val="both"/>
        <w:rPr>
          <w:rFonts w:ascii="Verdana" w:hAnsi="Verdana"/>
          <w:sz w:val="20"/>
          <w:szCs w:val="20"/>
        </w:rPr>
      </w:pPr>
    </w:p>
    <w:p w:rsidR="00434814" w:rsidRDefault="00434814" w:rsidP="00434814">
      <w:pPr>
        <w:pStyle w:val="Prrafodelista"/>
        <w:numPr>
          <w:ilvl w:val="0"/>
          <w:numId w:val="10"/>
        </w:numPr>
        <w:jc w:val="both"/>
        <w:rPr>
          <w:rFonts w:ascii="Verdana" w:hAnsi="Verdana"/>
          <w:sz w:val="20"/>
          <w:szCs w:val="20"/>
        </w:rPr>
      </w:pPr>
      <w:r>
        <w:rPr>
          <w:rFonts w:ascii="Verdana" w:hAnsi="Verdana"/>
          <w:sz w:val="20"/>
          <w:szCs w:val="20"/>
        </w:rPr>
        <w:t>Medidas previas a la ejecución hipotecaria: reestructuración de deudas hipotecarias</w:t>
      </w:r>
    </w:p>
    <w:p w:rsidR="00434814" w:rsidRDefault="00434814" w:rsidP="008760B6">
      <w:pPr>
        <w:pStyle w:val="Prrafodelista"/>
        <w:ind w:left="1276"/>
        <w:jc w:val="both"/>
        <w:rPr>
          <w:rFonts w:ascii="Verdana" w:hAnsi="Verdana"/>
          <w:sz w:val="20"/>
          <w:szCs w:val="20"/>
        </w:rPr>
      </w:pPr>
    </w:p>
    <w:p w:rsidR="00434814" w:rsidRDefault="00434814" w:rsidP="008760B6">
      <w:pPr>
        <w:pStyle w:val="Prrafodelista"/>
        <w:ind w:left="1276"/>
        <w:jc w:val="both"/>
        <w:rPr>
          <w:rFonts w:ascii="Verdana" w:hAnsi="Verdana"/>
          <w:sz w:val="20"/>
          <w:szCs w:val="20"/>
        </w:rPr>
      </w:pPr>
      <w:r>
        <w:rPr>
          <w:rFonts w:ascii="Verdana" w:hAnsi="Verdana"/>
          <w:sz w:val="20"/>
          <w:szCs w:val="20"/>
        </w:rPr>
        <w:t>Los deudores comprendidos en el ámbito de aplicación del artículo 2 del Real Decreto-ley 6/2012, de 9 de marzo (modificada por la Ley 1/2013, de 14 de mayo, de medidas para reforzar la protección a los deudores hipotecarios, reestructuración de deuda y alquiler social), podrán solicitar y obtener de la entidad acreedora la reestructuración de su deuda hipotecaria al objeto de alcanzar la viabilidad a medio y largo plazo de la misma. La entidad deberá ofrecer al deudor un plan de reestructuración en el que se concreten la ejecución y las consecuencias financieras para el deudor de la aplicación de las siguientes medidas:</w:t>
      </w:r>
    </w:p>
    <w:p w:rsidR="00434814" w:rsidRDefault="00434814" w:rsidP="00434814">
      <w:pPr>
        <w:pStyle w:val="Prrafodelista"/>
        <w:numPr>
          <w:ilvl w:val="0"/>
          <w:numId w:val="11"/>
        </w:numPr>
        <w:ind w:left="1701" w:hanging="425"/>
        <w:jc w:val="both"/>
        <w:rPr>
          <w:rFonts w:ascii="Verdana" w:hAnsi="Verdana"/>
          <w:sz w:val="20"/>
          <w:szCs w:val="20"/>
        </w:rPr>
      </w:pPr>
      <w:r>
        <w:rPr>
          <w:rFonts w:ascii="Verdana" w:hAnsi="Verdana"/>
          <w:sz w:val="20"/>
          <w:szCs w:val="20"/>
        </w:rPr>
        <w:t>Carencia en la amortización de capital de cuatro años</w:t>
      </w:r>
    </w:p>
    <w:p w:rsidR="00434814" w:rsidRDefault="00434814" w:rsidP="00434814">
      <w:pPr>
        <w:pStyle w:val="Prrafodelista"/>
        <w:numPr>
          <w:ilvl w:val="0"/>
          <w:numId w:val="11"/>
        </w:numPr>
        <w:ind w:left="1701" w:hanging="425"/>
        <w:jc w:val="both"/>
        <w:rPr>
          <w:rFonts w:ascii="Verdana" w:hAnsi="Verdana"/>
          <w:sz w:val="20"/>
          <w:szCs w:val="20"/>
        </w:rPr>
      </w:pPr>
      <w:r>
        <w:rPr>
          <w:rFonts w:ascii="Verdana" w:hAnsi="Verdana"/>
          <w:sz w:val="20"/>
          <w:szCs w:val="20"/>
        </w:rPr>
        <w:t>Ampliación del plazo de amortización hasta un total de 40 años a contar desde la concesión del préstamo</w:t>
      </w:r>
    </w:p>
    <w:p w:rsidR="00434814" w:rsidRDefault="00434814" w:rsidP="00434814">
      <w:pPr>
        <w:pStyle w:val="Prrafodelista"/>
        <w:numPr>
          <w:ilvl w:val="0"/>
          <w:numId w:val="11"/>
        </w:numPr>
        <w:ind w:left="1701" w:hanging="425"/>
        <w:jc w:val="both"/>
        <w:rPr>
          <w:rFonts w:ascii="Verdana" w:hAnsi="Verdana"/>
          <w:sz w:val="20"/>
          <w:szCs w:val="20"/>
        </w:rPr>
      </w:pPr>
      <w:r>
        <w:rPr>
          <w:rFonts w:ascii="Verdana" w:hAnsi="Verdana"/>
          <w:sz w:val="20"/>
          <w:szCs w:val="20"/>
        </w:rPr>
        <w:t>Reducción del tipo de interés aplicable a Euribor + 0,25 por cien durante el plazo de carencia.</w:t>
      </w:r>
    </w:p>
    <w:p w:rsidR="00434814" w:rsidRDefault="00434814" w:rsidP="008760B6">
      <w:pPr>
        <w:pStyle w:val="Prrafodelista"/>
        <w:ind w:left="1701"/>
        <w:jc w:val="both"/>
        <w:rPr>
          <w:rFonts w:ascii="Verdana" w:hAnsi="Verdana"/>
          <w:sz w:val="20"/>
          <w:szCs w:val="20"/>
        </w:rPr>
      </w:pPr>
    </w:p>
    <w:p w:rsidR="00434814" w:rsidRDefault="00434814" w:rsidP="008760B6">
      <w:pPr>
        <w:pStyle w:val="Prrafodelista"/>
        <w:ind w:left="1276"/>
        <w:jc w:val="both"/>
        <w:rPr>
          <w:rFonts w:ascii="Verdana" w:hAnsi="Verdana"/>
          <w:sz w:val="20"/>
          <w:szCs w:val="20"/>
        </w:rPr>
      </w:pPr>
      <w:r>
        <w:rPr>
          <w:rFonts w:ascii="Verdana" w:hAnsi="Verdana"/>
          <w:sz w:val="20"/>
          <w:szCs w:val="20"/>
        </w:rPr>
        <w:t>No podrán formular tal solicitud aquellos deudores que se encuentren en un procedimiento de ejecución, una vez se haya producido el anuncio de subasta.</w:t>
      </w:r>
    </w:p>
    <w:p w:rsidR="00434814" w:rsidRDefault="00434814" w:rsidP="008760B6">
      <w:pPr>
        <w:pStyle w:val="Prrafodelista"/>
        <w:ind w:left="1276"/>
        <w:jc w:val="both"/>
        <w:rPr>
          <w:rFonts w:ascii="Verdana" w:hAnsi="Verdana"/>
          <w:sz w:val="20"/>
          <w:szCs w:val="20"/>
        </w:rPr>
      </w:pPr>
    </w:p>
    <w:p w:rsidR="00434814" w:rsidRDefault="00434814" w:rsidP="00434814">
      <w:pPr>
        <w:pStyle w:val="Prrafodelista"/>
        <w:numPr>
          <w:ilvl w:val="0"/>
          <w:numId w:val="10"/>
        </w:numPr>
        <w:jc w:val="both"/>
        <w:rPr>
          <w:rFonts w:ascii="Verdana" w:hAnsi="Verdana"/>
          <w:sz w:val="20"/>
          <w:szCs w:val="20"/>
        </w:rPr>
      </w:pPr>
      <w:r>
        <w:rPr>
          <w:rFonts w:ascii="Verdana" w:hAnsi="Verdana"/>
          <w:sz w:val="20"/>
          <w:szCs w:val="20"/>
        </w:rPr>
        <w:t>Medidas complementarias</w:t>
      </w:r>
    </w:p>
    <w:p w:rsidR="00434814" w:rsidRDefault="00434814" w:rsidP="008760B6">
      <w:pPr>
        <w:pStyle w:val="Prrafodelista"/>
        <w:ind w:left="1276"/>
        <w:jc w:val="both"/>
        <w:rPr>
          <w:rFonts w:ascii="Verdana" w:hAnsi="Verdana"/>
          <w:sz w:val="20"/>
          <w:szCs w:val="20"/>
        </w:rPr>
      </w:pPr>
    </w:p>
    <w:p w:rsidR="00434814" w:rsidRDefault="00434814" w:rsidP="008760B6">
      <w:pPr>
        <w:pStyle w:val="Prrafodelista"/>
        <w:ind w:left="1276"/>
        <w:jc w:val="both"/>
        <w:rPr>
          <w:rFonts w:ascii="Verdana" w:hAnsi="Verdana"/>
          <w:sz w:val="20"/>
          <w:szCs w:val="20"/>
        </w:rPr>
      </w:pPr>
      <w:r>
        <w:rPr>
          <w:rFonts w:ascii="Verdana" w:hAnsi="Verdana"/>
          <w:sz w:val="20"/>
          <w:szCs w:val="20"/>
        </w:rPr>
        <w:t>En el caso de resultar inviable el plazo de reestructuración indicado en la primera fase de actuación, los deudores podrán solicitar una quita en el capital pendiente de amortización en los términos previstos en el Código y que la entidad tendrá facultad de aceptar o rechazar. Al objeto de determinar la quita, la entidad empleará alguno de los métodos de cálculo indicados en el referido Código de Buenas Prácticas.</w:t>
      </w:r>
    </w:p>
    <w:p w:rsidR="00434814" w:rsidRDefault="00434814" w:rsidP="008760B6">
      <w:pPr>
        <w:pStyle w:val="Prrafodelista"/>
        <w:ind w:left="1276"/>
        <w:jc w:val="both"/>
        <w:rPr>
          <w:rFonts w:ascii="Verdana" w:hAnsi="Verdana"/>
          <w:sz w:val="20"/>
          <w:szCs w:val="20"/>
        </w:rPr>
      </w:pPr>
    </w:p>
    <w:p w:rsidR="00434814" w:rsidRDefault="00434814" w:rsidP="008760B6">
      <w:pPr>
        <w:pStyle w:val="Prrafodelista"/>
        <w:ind w:left="1276"/>
        <w:jc w:val="both"/>
        <w:rPr>
          <w:rFonts w:ascii="Verdana" w:hAnsi="Verdana"/>
          <w:sz w:val="20"/>
          <w:szCs w:val="20"/>
        </w:rPr>
      </w:pPr>
      <w:r>
        <w:rPr>
          <w:rFonts w:ascii="Verdana" w:hAnsi="Verdana"/>
          <w:sz w:val="20"/>
          <w:szCs w:val="20"/>
        </w:rPr>
        <w:t>Esta medida podrá ser solicitada por aquellos deudores que se encuentren en un procedimiento de ejecución hipotecaria en el que se haya producido el anuncio de subasta.</w:t>
      </w:r>
    </w:p>
    <w:p w:rsidR="00434814" w:rsidRDefault="00434814" w:rsidP="008760B6">
      <w:pPr>
        <w:pStyle w:val="Prrafodelista"/>
        <w:ind w:left="1276"/>
        <w:jc w:val="both"/>
        <w:rPr>
          <w:rFonts w:ascii="Verdana" w:hAnsi="Verdana"/>
          <w:sz w:val="20"/>
          <w:szCs w:val="20"/>
        </w:rPr>
      </w:pPr>
    </w:p>
    <w:p w:rsidR="00434814" w:rsidRDefault="00434814" w:rsidP="00434814">
      <w:pPr>
        <w:pStyle w:val="Prrafodelista"/>
        <w:numPr>
          <w:ilvl w:val="0"/>
          <w:numId w:val="10"/>
        </w:numPr>
        <w:jc w:val="both"/>
        <w:rPr>
          <w:rFonts w:ascii="Verdana" w:hAnsi="Verdana"/>
          <w:sz w:val="20"/>
          <w:szCs w:val="20"/>
        </w:rPr>
      </w:pPr>
      <w:r>
        <w:rPr>
          <w:rFonts w:ascii="Verdana" w:hAnsi="Verdana"/>
          <w:sz w:val="20"/>
          <w:szCs w:val="20"/>
        </w:rPr>
        <w:t>Medidas sustitutivas de la ejecución hipotecaria: dación en pago de la vivienda habitual.</w:t>
      </w:r>
    </w:p>
    <w:p w:rsidR="00434814" w:rsidRDefault="00434814" w:rsidP="008760B6">
      <w:pPr>
        <w:pStyle w:val="Prrafodelista"/>
        <w:ind w:left="567"/>
        <w:jc w:val="both"/>
        <w:rPr>
          <w:rFonts w:ascii="Verdana" w:hAnsi="Verdana"/>
          <w:sz w:val="20"/>
          <w:szCs w:val="20"/>
        </w:rPr>
      </w:pPr>
    </w:p>
    <w:p w:rsidR="00434814" w:rsidRDefault="00434814" w:rsidP="008760B6">
      <w:pPr>
        <w:pStyle w:val="Prrafodelista"/>
        <w:ind w:left="1276"/>
        <w:jc w:val="both"/>
        <w:rPr>
          <w:rFonts w:ascii="Verdana" w:hAnsi="Verdana"/>
          <w:sz w:val="20"/>
          <w:szCs w:val="20"/>
        </w:rPr>
      </w:pPr>
      <w:r>
        <w:rPr>
          <w:rFonts w:ascii="Verdana" w:hAnsi="Verdana"/>
          <w:sz w:val="20"/>
          <w:szCs w:val="20"/>
        </w:rPr>
        <w:t>Los deudores que se encuentren comprendidos en el ámbito de aplicación del artículo 2 del Real Decreto-ley 6/2012, de 9 de marzo, para los que la reestructuración y las medidas complementarias, en su caso, no resulten viables, conforme a lo establecido en el apartado 2, podrán solicitar la dación en pago de su vivienda habitual en los términos previstos en el Código de Buenas Prácticas.</w:t>
      </w:r>
    </w:p>
    <w:p w:rsidR="00434814" w:rsidRDefault="00434814" w:rsidP="008760B6">
      <w:pPr>
        <w:pStyle w:val="Prrafodelista"/>
        <w:ind w:left="1276"/>
        <w:jc w:val="both"/>
        <w:rPr>
          <w:rFonts w:ascii="Verdana" w:hAnsi="Verdana"/>
          <w:sz w:val="20"/>
          <w:szCs w:val="20"/>
        </w:rPr>
      </w:pPr>
    </w:p>
    <w:p w:rsidR="00DB7C25" w:rsidRDefault="00434814" w:rsidP="008760B6">
      <w:pPr>
        <w:pStyle w:val="Prrafodelista"/>
        <w:ind w:left="1276"/>
        <w:jc w:val="both"/>
        <w:rPr>
          <w:rFonts w:ascii="Verdana" w:hAnsi="Verdana"/>
          <w:sz w:val="20"/>
          <w:szCs w:val="20"/>
        </w:rPr>
      </w:pPr>
      <w:r>
        <w:rPr>
          <w:rFonts w:ascii="Verdana" w:hAnsi="Verdana"/>
          <w:sz w:val="20"/>
          <w:szCs w:val="20"/>
        </w:rPr>
        <w:t>Esta medida no será aplicable en los supuestos que se encuentren en procedimiento de ejecución en los que se haya anunciado la subasta, o en los que la vivienda esté gravada con cargas posteriores.</w:t>
      </w:r>
    </w:p>
    <w:p w:rsidR="00954AC2" w:rsidRDefault="00954AC2" w:rsidP="008760B6">
      <w:pPr>
        <w:pStyle w:val="Prrafodelista"/>
        <w:ind w:left="1276"/>
        <w:jc w:val="both"/>
        <w:rPr>
          <w:rFonts w:ascii="Verdana" w:hAnsi="Verdana"/>
          <w:sz w:val="20"/>
          <w:szCs w:val="20"/>
        </w:rPr>
      </w:pPr>
    </w:p>
    <w:p w:rsidR="00954AC2" w:rsidRPr="00954AC2" w:rsidRDefault="00954AC2" w:rsidP="00954AC2">
      <w:pPr>
        <w:pStyle w:val="Prrafodelista"/>
        <w:numPr>
          <w:ilvl w:val="0"/>
          <w:numId w:val="22"/>
        </w:numPr>
        <w:ind w:left="1276"/>
        <w:jc w:val="both"/>
        <w:rPr>
          <w:rFonts w:ascii="Verdana" w:hAnsi="Verdana"/>
          <w:sz w:val="20"/>
          <w:szCs w:val="20"/>
        </w:rPr>
      </w:pPr>
      <w:r w:rsidRPr="00954AC2">
        <w:rPr>
          <w:rFonts w:ascii="Verdana" w:hAnsi="Verdana"/>
          <w:sz w:val="20"/>
          <w:szCs w:val="20"/>
        </w:rPr>
        <w:t>Derecho de alquiler en caso de ejecución de la vivienda habitual.</w:t>
      </w:r>
    </w:p>
    <w:p w:rsidR="00954AC2" w:rsidRPr="00954AC2" w:rsidRDefault="00954AC2" w:rsidP="00954AC2">
      <w:pPr>
        <w:pStyle w:val="Prrafodelista"/>
        <w:ind w:left="1276"/>
        <w:jc w:val="both"/>
        <w:rPr>
          <w:rFonts w:ascii="Verdana" w:hAnsi="Verdana"/>
          <w:sz w:val="20"/>
          <w:szCs w:val="20"/>
        </w:rPr>
      </w:pPr>
    </w:p>
    <w:p w:rsidR="00954AC2" w:rsidRPr="00954AC2" w:rsidRDefault="00954AC2" w:rsidP="00954AC2">
      <w:pPr>
        <w:pStyle w:val="Prrafodelista"/>
        <w:ind w:left="1276"/>
        <w:jc w:val="both"/>
        <w:rPr>
          <w:rFonts w:ascii="Verdana" w:hAnsi="Verdana"/>
          <w:sz w:val="20"/>
          <w:szCs w:val="20"/>
        </w:rPr>
      </w:pPr>
      <w:r w:rsidRPr="00954AC2">
        <w:rPr>
          <w:rFonts w:ascii="Verdana" w:hAnsi="Verdana"/>
          <w:sz w:val="20"/>
          <w:szCs w:val="20"/>
        </w:rPr>
        <w:t xml:space="preserve">El deudor hipotecario </w:t>
      </w:r>
      <w:r w:rsidR="00D91ECC">
        <w:rPr>
          <w:rFonts w:ascii="Verdana" w:hAnsi="Verdana"/>
          <w:sz w:val="20"/>
          <w:szCs w:val="20"/>
        </w:rPr>
        <w:t>al que se le haya ejecutado la vivienda habitual,</w:t>
      </w:r>
      <w:r w:rsidRPr="00954AC2">
        <w:rPr>
          <w:rFonts w:ascii="Verdana" w:hAnsi="Verdana"/>
          <w:sz w:val="20"/>
          <w:szCs w:val="20"/>
        </w:rPr>
        <w:t xml:space="preserve"> cuyo lanzamiento haya sido suspendido de conformidad con lo dispuesto por el artículo 1.1 de la Ley 1/2013, de 14 de mayo, de medidas para reforzar la protección a los deudores hipotecarios, reestructuración de deuda y alquiler social, podrá solicitar y obtener del acreedor ejecutante de la vivienda, o persona que actúe por su cuenta, el alquiler de la misma por una renta anual máxima del 3 por cien de su valor al tiempo de la aprobación del remate, determinado según tasación, aportada por el </w:t>
      </w:r>
      <w:r w:rsidR="00D91ECC">
        <w:rPr>
          <w:rFonts w:ascii="Verdana" w:hAnsi="Verdana"/>
          <w:sz w:val="20"/>
          <w:szCs w:val="20"/>
        </w:rPr>
        <w:t xml:space="preserve">deudor </w:t>
      </w:r>
      <w:r w:rsidRPr="00954AC2">
        <w:rPr>
          <w:rFonts w:ascii="Verdana" w:hAnsi="Verdana"/>
          <w:sz w:val="20"/>
          <w:szCs w:val="20"/>
        </w:rPr>
        <w:t>ejecutado y certificada por un tasador homologado de conformidad con lo previsto en la Ley 2/1981, de 25 de marzo de Regulación del Mercado Hipotecario.</w:t>
      </w:r>
    </w:p>
    <w:p w:rsidR="00954AC2" w:rsidRPr="00954AC2" w:rsidRDefault="00954AC2" w:rsidP="00954AC2">
      <w:pPr>
        <w:pStyle w:val="Prrafodelista"/>
        <w:ind w:left="1276"/>
        <w:jc w:val="both"/>
        <w:rPr>
          <w:rFonts w:ascii="Verdana" w:hAnsi="Verdana"/>
          <w:sz w:val="20"/>
          <w:szCs w:val="20"/>
        </w:rPr>
      </w:pPr>
    </w:p>
    <w:p w:rsidR="00954AC2" w:rsidRPr="00954AC2" w:rsidRDefault="00954AC2" w:rsidP="00954AC2">
      <w:pPr>
        <w:pStyle w:val="Prrafodelista"/>
        <w:ind w:left="1276"/>
        <w:jc w:val="both"/>
        <w:rPr>
          <w:rFonts w:ascii="Verdana" w:hAnsi="Verdana"/>
          <w:sz w:val="20"/>
          <w:szCs w:val="20"/>
        </w:rPr>
      </w:pPr>
      <w:r w:rsidRPr="00954AC2">
        <w:rPr>
          <w:rFonts w:ascii="Verdana" w:hAnsi="Verdana"/>
          <w:sz w:val="20"/>
          <w:szCs w:val="20"/>
        </w:rPr>
        <w:t xml:space="preserve">La solicitud a la que se refiere el párrafo anterior, podrá realizarse en el plazo de seis meses desde la entrada en vigor del Real Decreto-ley 5/2017, por el que se modifica el Real Decreto-ley 6/2012, de 9 de marzo, de medidas urgentes de protección de deudores hipotecarios sin recursos y la Ley 1/2013, de 14 de mayo, de medidas para reforzar la protección a los deudores hipotecarios, reestructuración de deuda y alquiler social, </w:t>
      </w:r>
      <w:r w:rsidR="00D91ECC">
        <w:rPr>
          <w:rFonts w:ascii="Verdana" w:hAnsi="Verdana"/>
          <w:sz w:val="20"/>
          <w:szCs w:val="20"/>
        </w:rPr>
        <w:t>por</w:t>
      </w:r>
      <w:r w:rsidR="00D91ECC" w:rsidRPr="00954AC2">
        <w:rPr>
          <w:rFonts w:ascii="Verdana" w:hAnsi="Verdana"/>
          <w:sz w:val="20"/>
          <w:szCs w:val="20"/>
        </w:rPr>
        <w:t xml:space="preserve"> </w:t>
      </w:r>
      <w:r w:rsidRPr="00954AC2">
        <w:rPr>
          <w:rFonts w:ascii="Verdana" w:hAnsi="Verdana"/>
          <w:sz w:val="20"/>
          <w:szCs w:val="20"/>
        </w:rPr>
        <w:t>aquellos ejecutados que ya fueran beneficiarios de la suspensión y desde que se produzca la suspensión para quienes se beneficiasen con posterioridad.</w:t>
      </w:r>
    </w:p>
    <w:p w:rsidR="00954AC2" w:rsidRPr="00954AC2" w:rsidRDefault="00954AC2" w:rsidP="00954AC2">
      <w:pPr>
        <w:pStyle w:val="Prrafodelista"/>
        <w:ind w:left="1276"/>
        <w:jc w:val="both"/>
        <w:rPr>
          <w:rFonts w:ascii="Verdana" w:hAnsi="Verdana"/>
          <w:sz w:val="20"/>
          <w:szCs w:val="20"/>
        </w:rPr>
      </w:pPr>
    </w:p>
    <w:p w:rsidR="00954AC2" w:rsidRDefault="00954AC2" w:rsidP="00954AC2">
      <w:pPr>
        <w:pStyle w:val="Prrafodelista"/>
        <w:ind w:left="1276"/>
        <w:jc w:val="both"/>
        <w:rPr>
          <w:rFonts w:ascii="Verdana" w:hAnsi="Verdana"/>
          <w:sz w:val="20"/>
          <w:szCs w:val="20"/>
        </w:rPr>
      </w:pPr>
      <w:r w:rsidRPr="00954AC2">
        <w:rPr>
          <w:rFonts w:ascii="Verdana" w:hAnsi="Verdana"/>
          <w:sz w:val="20"/>
          <w:szCs w:val="20"/>
        </w:rPr>
        <w:t>Dicho arrendamiento tendrá duración anual, prorrogable a voluntad del arrendatario, hasta completar el plazo de cinco años. Por mutuo acuerdo entre el ejecutado y el adjudicatario podrá prorrogarse anualmente durante cinco años adicionales.</w:t>
      </w:r>
    </w:p>
    <w:p w:rsidR="00434814" w:rsidRDefault="00434814" w:rsidP="008760B6">
      <w:pPr>
        <w:pStyle w:val="Prrafodelista"/>
        <w:ind w:left="567"/>
        <w:rPr>
          <w:rFonts w:ascii="Verdana" w:hAnsi="Verdana"/>
          <w:sz w:val="20"/>
          <w:szCs w:val="20"/>
        </w:rPr>
      </w:pPr>
    </w:p>
    <w:p w:rsidR="00434814" w:rsidRDefault="003F2179" w:rsidP="008760B6">
      <w:pPr>
        <w:pStyle w:val="Prrafodelista"/>
        <w:rPr>
          <w:rFonts w:ascii="Verdana" w:hAnsi="Verdana"/>
          <w:sz w:val="20"/>
          <w:szCs w:val="20"/>
        </w:rPr>
      </w:pPr>
      <w:r>
        <w:rPr>
          <w:rFonts w:ascii="Verdana" w:hAnsi="Verdana"/>
          <w:noProof/>
          <w:color w:val="3366FF"/>
          <w:sz w:val="20"/>
          <w:szCs w:val="20"/>
          <w:u w:val="single"/>
        </w:rPr>
        <w:pict>
          <v:rect id="_x0000_s1032" style="position:absolute;left:0;text-align:left;margin-left:-4.8pt;margin-top:11.3pt;width:498.75pt;height:18.75pt;z-index:251665408" fillcolor="#4f81bd">
            <v:textbox>
              <w:txbxContent>
                <w:p w:rsidR="00C90EE5" w:rsidRPr="00750752" w:rsidRDefault="00C90EE5" w:rsidP="008760B6">
                  <w:pPr>
                    <w:rPr>
                      <w:rFonts w:ascii="Verdana" w:hAnsi="Verdana"/>
                      <w:color w:val="FFFFFF"/>
                    </w:rPr>
                  </w:pPr>
                  <w:r>
                    <w:rPr>
                      <w:rFonts w:ascii="Verdana" w:hAnsi="Verdana"/>
                      <w:color w:val="FFFFFF"/>
                    </w:rPr>
                    <w:t>Información Adicional</w:t>
                  </w:r>
                </w:p>
              </w:txbxContent>
            </v:textbox>
          </v:rect>
        </w:pict>
      </w:r>
    </w:p>
    <w:p w:rsidR="00434814" w:rsidRPr="004C04B7" w:rsidRDefault="00434814" w:rsidP="008760B6">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jc w:val="both"/>
        <w:rPr>
          <w:rFonts w:ascii="Verdana" w:hAnsi="Verdana"/>
        </w:rPr>
      </w:pPr>
    </w:p>
    <w:p w:rsidR="00434814" w:rsidRPr="00BC5A3D" w:rsidRDefault="00434814" w:rsidP="008760B6">
      <w:pPr>
        <w:pStyle w:val="Textoindependiente"/>
        <w:spacing w:before="240"/>
        <w:ind w:left="567"/>
        <w:jc w:val="both"/>
        <w:rPr>
          <w:rFonts w:ascii="Verdana" w:hAnsi="Verdana"/>
          <w:sz w:val="20"/>
          <w:szCs w:val="20"/>
        </w:rPr>
      </w:pPr>
      <w:r w:rsidRPr="00BC5A3D">
        <w:rPr>
          <w:rFonts w:ascii="Verdana" w:hAnsi="Verdana"/>
          <w:sz w:val="20"/>
          <w:szCs w:val="20"/>
        </w:rPr>
        <w:t>Le informamos que el contrato podrá formalizarse indistintamente en castellano y catalán.</w:t>
      </w:r>
    </w:p>
    <w:p w:rsidR="00434814" w:rsidRPr="00BC5A3D" w:rsidRDefault="00434814" w:rsidP="008760B6">
      <w:pPr>
        <w:ind w:left="567"/>
        <w:jc w:val="both"/>
        <w:rPr>
          <w:rFonts w:ascii="Verdana" w:hAnsi="Verdana" w:cs="Arial"/>
        </w:rPr>
      </w:pPr>
      <w:r w:rsidRPr="00BC5A3D">
        <w:rPr>
          <w:rFonts w:ascii="Verdana" w:hAnsi="Verdana" w:cs="Arial"/>
        </w:rPr>
        <w:t xml:space="preserve">El titular podrá formular, cualquier reclamación o queja dirigiéndose a la web de Caja de Ingenieros en el apartado “Contacto” o bien a Teleingenieros web apartado “Opciones/Contactar “rellenando el formulario habilitado, llamando al 902.200.888 o bien dirigiéndose a una oficina.  </w:t>
      </w:r>
    </w:p>
    <w:p w:rsidR="00434814" w:rsidRPr="00BC5A3D" w:rsidRDefault="00434814" w:rsidP="008760B6">
      <w:pPr>
        <w:ind w:left="567"/>
        <w:jc w:val="both"/>
        <w:rPr>
          <w:rFonts w:ascii="Verdana" w:hAnsi="Verdana" w:cs="Arial"/>
        </w:rPr>
      </w:pPr>
    </w:p>
    <w:p w:rsidR="00434814" w:rsidRPr="00BC5A3D" w:rsidRDefault="00434814" w:rsidP="008760B6">
      <w:pPr>
        <w:ind w:left="567"/>
        <w:jc w:val="both"/>
        <w:rPr>
          <w:rFonts w:ascii="Verdana" w:hAnsi="Verdana" w:cs="Arial"/>
        </w:rPr>
      </w:pPr>
      <w:r w:rsidRPr="00BC5A3D">
        <w:rPr>
          <w:rFonts w:ascii="Verdana" w:hAnsi="Verdana" w:cs="Arial"/>
        </w:rPr>
        <w:t xml:space="preserve">Finalmente, si el resultado de su queja o reclamación no es satisfactorio,  podrá elevar su petición a la siguiente dirección: </w:t>
      </w:r>
    </w:p>
    <w:p w:rsidR="00434814" w:rsidRDefault="00434814" w:rsidP="008760B6">
      <w:pPr>
        <w:ind w:left="567"/>
        <w:rPr>
          <w:rFonts w:ascii="Verdana" w:hAnsi="Verdana"/>
          <w:sz w:val="18"/>
          <w:szCs w:val="18"/>
        </w:rPr>
      </w:pPr>
    </w:p>
    <w:p w:rsidR="00434814" w:rsidRPr="00615840" w:rsidRDefault="00434814" w:rsidP="008760B6">
      <w:pPr>
        <w:pStyle w:val="Textoindependiente"/>
        <w:spacing w:after="0"/>
        <w:ind w:left="567"/>
        <w:rPr>
          <w:rFonts w:ascii="Verdana" w:hAnsi="Verdana"/>
          <w:b/>
          <w:sz w:val="18"/>
          <w:szCs w:val="18"/>
        </w:rPr>
      </w:pPr>
      <w:r w:rsidRPr="00615840">
        <w:rPr>
          <w:rFonts w:ascii="Verdana" w:hAnsi="Verdana"/>
          <w:b/>
          <w:sz w:val="18"/>
          <w:szCs w:val="18"/>
        </w:rPr>
        <w:t>SERVICIO DE ATENCIÓN AL SOCIO/CLIENTE</w:t>
      </w:r>
    </w:p>
    <w:p w:rsidR="00434814" w:rsidRPr="00615840" w:rsidRDefault="00434814" w:rsidP="008760B6">
      <w:pPr>
        <w:pStyle w:val="Textoindependiente"/>
        <w:spacing w:after="0"/>
        <w:ind w:left="567"/>
        <w:rPr>
          <w:rFonts w:ascii="Verdana" w:hAnsi="Verdana"/>
          <w:b/>
          <w:sz w:val="18"/>
          <w:szCs w:val="18"/>
        </w:rPr>
      </w:pPr>
      <w:r w:rsidRPr="00615840">
        <w:rPr>
          <w:rFonts w:ascii="Verdana" w:hAnsi="Verdana"/>
          <w:b/>
          <w:sz w:val="18"/>
          <w:szCs w:val="18"/>
        </w:rPr>
        <w:t>GRUPO CAJA DE INGENIEROS</w:t>
      </w:r>
    </w:p>
    <w:p w:rsidR="00434814" w:rsidRPr="00615840" w:rsidRDefault="00434814" w:rsidP="008760B6">
      <w:pPr>
        <w:pStyle w:val="Textoindependiente"/>
        <w:spacing w:after="0"/>
        <w:ind w:left="567"/>
        <w:rPr>
          <w:rFonts w:ascii="Verdana" w:hAnsi="Verdana"/>
          <w:sz w:val="18"/>
          <w:szCs w:val="18"/>
        </w:rPr>
      </w:pPr>
      <w:r w:rsidRPr="00615840">
        <w:rPr>
          <w:rFonts w:ascii="Verdana" w:hAnsi="Verdana"/>
          <w:sz w:val="18"/>
          <w:szCs w:val="18"/>
        </w:rPr>
        <w:t>C/ Vía Layetana, 39</w:t>
      </w:r>
    </w:p>
    <w:p w:rsidR="00434814" w:rsidRPr="00615840" w:rsidRDefault="00434814" w:rsidP="008760B6">
      <w:pPr>
        <w:pStyle w:val="Textoindependiente"/>
        <w:spacing w:after="0"/>
        <w:ind w:left="567"/>
        <w:rPr>
          <w:rFonts w:ascii="Verdana" w:hAnsi="Verdana"/>
          <w:sz w:val="18"/>
          <w:szCs w:val="18"/>
        </w:rPr>
      </w:pPr>
      <w:r w:rsidRPr="00615840">
        <w:rPr>
          <w:rFonts w:ascii="Verdana" w:hAnsi="Verdana"/>
          <w:sz w:val="18"/>
          <w:szCs w:val="18"/>
        </w:rPr>
        <w:t>080</w:t>
      </w:r>
      <w:r>
        <w:rPr>
          <w:rFonts w:ascii="Verdana" w:hAnsi="Verdana"/>
          <w:sz w:val="18"/>
          <w:szCs w:val="18"/>
        </w:rPr>
        <w:t>03</w:t>
      </w:r>
      <w:r w:rsidRPr="00615840">
        <w:rPr>
          <w:rFonts w:ascii="Verdana" w:hAnsi="Verdana"/>
          <w:sz w:val="18"/>
          <w:szCs w:val="18"/>
        </w:rPr>
        <w:t xml:space="preserve"> Barcelona</w:t>
      </w:r>
    </w:p>
    <w:p w:rsidR="00434814" w:rsidRPr="00615840" w:rsidRDefault="00434814" w:rsidP="008760B6">
      <w:pPr>
        <w:pStyle w:val="Textoindependiente"/>
        <w:spacing w:after="0"/>
        <w:ind w:left="567"/>
        <w:rPr>
          <w:rFonts w:ascii="Verdana" w:hAnsi="Verdana"/>
          <w:sz w:val="18"/>
          <w:szCs w:val="18"/>
        </w:rPr>
      </w:pPr>
      <w:r w:rsidRPr="00615840">
        <w:rPr>
          <w:rFonts w:ascii="Verdana" w:hAnsi="Verdana"/>
          <w:sz w:val="18"/>
          <w:szCs w:val="18"/>
        </w:rPr>
        <w:t>Teléfono 900302514</w:t>
      </w:r>
    </w:p>
    <w:p w:rsidR="00434814" w:rsidRPr="00615840" w:rsidRDefault="00434814" w:rsidP="008760B6">
      <w:pPr>
        <w:pStyle w:val="Textoindependiente"/>
        <w:ind w:left="567"/>
        <w:rPr>
          <w:rFonts w:ascii="Verdana" w:hAnsi="Verdana"/>
          <w:sz w:val="18"/>
          <w:szCs w:val="18"/>
        </w:rPr>
      </w:pPr>
      <w:r w:rsidRPr="00615840">
        <w:rPr>
          <w:rFonts w:ascii="Verdana" w:hAnsi="Verdana"/>
          <w:sz w:val="18"/>
          <w:szCs w:val="18"/>
        </w:rPr>
        <w:t>Fax: 933100060</w:t>
      </w:r>
    </w:p>
    <w:p w:rsidR="008760B6" w:rsidRPr="008760B6" w:rsidRDefault="003F2179" w:rsidP="008760B6">
      <w:pPr>
        <w:pStyle w:val="Piedepgina"/>
        <w:ind w:left="567"/>
      </w:pPr>
      <w:hyperlink r:id="rId14" w:history="1">
        <w:r w:rsidR="008760B6" w:rsidRPr="008760B6">
          <w:rPr>
            <w:rStyle w:val="Hipervnculo"/>
          </w:rPr>
          <w:t>servicioatencionsocio@caja-ingenieros.es</w:t>
        </w:r>
      </w:hyperlink>
    </w:p>
    <w:p w:rsidR="00434814" w:rsidRPr="00F06B12" w:rsidRDefault="00434814" w:rsidP="008760B6">
      <w:pPr>
        <w:pStyle w:val="Piedepgina"/>
        <w:rPr>
          <w:rFonts w:ascii="Verdana" w:hAnsi="Verdana"/>
          <w:sz w:val="16"/>
          <w:szCs w:val="16"/>
        </w:rPr>
      </w:pPr>
    </w:p>
    <w:p w:rsidR="00424269" w:rsidRDefault="00424269"/>
    <w:sectPr w:rsidR="00424269" w:rsidSect="00AC0B12">
      <w:headerReference w:type="default" r:id="rId15"/>
      <w:footerReference w:type="default" r:id="rId16"/>
      <w:headerReference w:type="first" r:id="rId17"/>
      <w:pgSz w:w="11906" w:h="16838"/>
      <w:pgMar w:top="809" w:right="1701" w:bottom="993"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E5" w:rsidRDefault="00C90EE5" w:rsidP="004A5894">
      <w:r>
        <w:separator/>
      </w:r>
    </w:p>
  </w:endnote>
  <w:endnote w:type="continuationSeparator" w:id="0">
    <w:p w:rsidR="00C90EE5" w:rsidRDefault="00C90EE5" w:rsidP="004A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BT">
    <w:panose1 w:val="020B0503030503020204"/>
    <w:charset w:val="00"/>
    <w:family w:val="swiss"/>
    <w:pitch w:val="variable"/>
    <w:sig w:usb0="800002E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E5" w:rsidRPr="00613589" w:rsidRDefault="00C90EE5" w:rsidP="008760B6">
    <w:pPr>
      <w:pStyle w:val="Piedepgina"/>
      <w:jc w:val="right"/>
      <w:rPr>
        <w:rFonts w:ascii="Verdana" w:hAnsi="Verdana"/>
        <w:sz w:val="16"/>
        <w:szCs w:val="16"/>
      </w:rPr>
    </w:pPr>
    <w:r>
      <w:rPr>
        <w:rStyle w:val="Nmerodepgina"/>
        <w:rFonts w:ascii="Verdana" w:hAnsi="Verdana"/>
        <w:sz w:val="16"/>
        <w:szCs w:val="16"/>
      </w:rPr>
      <w:fldChar w:fldCharType="begin"/>
    </w:r>
    <w:r>
      <w:rPr>
        <w:rStyle w:val="Nmerodepgina"/>
        <w:rFonts w:ascii="Verdana" w:hAnsi="Verdana"/>
        <w:sz w:val="16"/>
        <w:szCs w:val="16"/>
      </w:rPr>
      <w:instrText xml:space="preserve"> PAGE </w:instrText>
    </w:r>
    <w:r>
      <w:rPr>
        <w:rStyle w:val="Nmerodepgina"/>
        <w:rFonts w:ascii="Verdana" w:hAnsi="Verdana"/>
        <w:sz w:val="16"/>
        <w:szCs w:val="16"/>
      </w:rPr>
      <w:fldChar w:fldCharType="separate"/>
    </w:r>
    <w:r w:rsidR="003F2179">
      <w:rPr>
        <w:rStyle w:val="Nmerodepgina"/>
        <w:rFonts w:ascii="Verdana" w:hAnsi="Verdana"/>
        <w:noProof/>
        <w:sz w:val="16"/>
        <w:szCs w:val="16"/>
      </w:rPr>
      <w:t>14</w:t>
    </w:r>
    <w:r>
      <w:rPr>
        <w:rStyle w:val="Nmerodepgina"/>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E5" w:rsidRDefault="00C90EE5" w:rsidP="004A5894">
      <w:r>
        <w:separator/>
      </w:r>
    </w:p>
  </w:footnote>
  <w:footnote w:type="continuationSeparator" w:id="0">
    <w:p w:rsidR="00C90EE5" w:rsidRDefault="00C90EE5" w:rsidP="004A5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E5" w:rsidRDefault="003F2179" w:rsidP="008760B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85pt;width:141.75pt;height:20.65pt;z-index:-251656192">
          <v:imagedata r:id="rId1" o:title="CI-LOGO-CAST_transparente"/>
        </v:shape>
      </w:pict>
    </w:r>
  </w:p>
  <w:p w:rsidR="00C90EE5" w:rsidRDefault="00C90EE5" w:rsidP="008760B6">
    <w:pPr>
      <w:pStyle w:val="Encabezado"/>
    </w:pPr>
  </w:p>
  <w:p w:rsidR="00C90EE5" w:rsidRDefault="00C90EE5" w:rsidP="008760B6">
    <w:pPr>
      <w:pStyle w:val="Encabezado"/>
    </w:pPr>
  </w:p>
  <w:p w:rsidR="00C90EE5" w:rsidRDefault="00C90EE5" w:rsidP="008760B6">
    <w:pPr>
      <w:pStyle w:val="Encabezado"/>
    </w:pPr>
  </w:p>
  <w:tbl>
    <w:tblPr>
      <w:tblW w:w="9781" w:type="dxa"/>
      <w:tblCellMar>
        <w:left w:w="0" w:type="dxa"/>
        <w:right w:w="0" w:type="dxa"/>
      </w:tblCellMar>
      <w:tblLook w:val="01E0" w:firstRow="1" w:lastRow="1" w:firstColumn="1" w:lastColumn="1" w:noHBand="0" w:noVBand="0"/>
    </w:tblPr>
    <w:tblGrid>
      <w:gridCol w:w="8647"/>
      <w:gridCol w:w="1134"/>
    </w:tblGrid>
    <w:tr w:rsidR="00C90EE5" w:rsidRPr="00440E0F" w:rsidTr="00E54998">
      <w:tc>
        <w:tcPr>
          <w:tcW w:w="8647" w:type="dxa"/>
          <w:shd w:val="clear" w:color="auto" w:fill="auto"/>
        </w:tcPr>
        <w:p w:rsidR="00C90EE5" w:rsidRPr="00D6318D" w:rsidRDefault="00C90EE5" w:rsidP="008760B6">
          <w:pPr>
            <w:pStyle w:val="Encabezado"/>
            <w:rPr>
              <w:rFonts w:ascii="Verdana" w:hAnsi="Verdana"/>
              <w:b/>
              <w:sz w:val="16"/>
              <w:szCs w:val="16"/>
            </w:rPr>
          </w:pPr>
          <w:r w:rsidRPr="00D6318D">
            <w:rPr>
              <w:rFonts w:ascii="Verdana" w:hAnsi="Verdana"/>
              <w:b/>
              <w:sz w:val="16"/>
              <w:szCs w:val="16"/>
            </w:rPr>
            <w:t>La información resaltada en negrita en el presente documento es especialmente relevante</w:t>
          </w:r>
        </w:p>
      </w:tc>
      <w:tc>
        <w:tcPr>
          <w:tcW w:w="1134" w:type="dxa"/>
          <w:shd w:val="clear" w:color="auto" w:fill="auto"/>
        </w:tcPr>
        <w:p w:rsidR="00C90EE5" w:rsidRPr="00D6318D" w:rsidRDefault="00C90EE5" w:rsidP="008760B6">
          <w:pPr>
            <w:pStyle w:val="Encabezado"/>
            <w:jc w:val="right"/>
            <w:rPr>
              <w:rFonts w:ascii="Verdana" w:hAnsi="Verdana"/>
              <w:b/>
              <w:sz w:val="16"/>
              <w:szCs w:val="16"/>
            </w:rPr>
          </w:pPr>
          <w:r w:rsidRPr="00D6318D">
            <w:rPr>
              <w:rFonts w:ascii="Verdana" w:hAnsi="Verdana"/>
              <w:b/>
              <w:sz w:val="16"/>
              <w:szCs w:val="16"/>
            </w:rPr>
            <w:t>FIPRE</w:t>
          </w:r>
        </w:p>
      </w:tc>
    </w:tr>
  </w:tbl>
  <w:p w:rsidR="00C90EE5" w:rsidRDefault="00C90E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E5" w:rsidRDefault="003F2179" w:rsidP="008760B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85pt;width:141.75pt;height:20.65pt;z-index:-251657216">
          <v:imagedata r:id="rId1" o:title="CI-LOGO-CAST_transparente"/>
        </v:shape>
      </w:pict>
    </w:r>
  </w:p>
  <w:p w:rsidR="00C90EE5" w:rsidRDefault="00C90EE5" w:rsidP="008760B6">
    <w:pPr>
      <w:pStyle w:val="Encabezado"/>
    </w:pPr>
  </w:p>
  <w:p w:rsidR="00C90EE5" w:rsidRDefault="00C90EE5" w:rsidP="008760B6">
    <w:pPr>
      <w:pStyle w:val="Encabezado"/>
    </w:pPr>
  </w:p>
  <w:p w:rsidR="00C90EE5" w:rsidRDefault="00C90EE5" w:rsidP="008760B6">
    <w:pPr>
      <w:pStyle w:val="Encabezado"/>
    </w:pPr>
  </w:p>
  <w:tbl>
    <w:tblPr>
      <w:tblW w:w="0" w:type="auto"/>
      <w:tblCellMar>
        <w:left w:w="0" w:type="dxa"/>
        <w:right w:w="0" w:type="dxa"/>
      </w:tblCellMar>
      <w:tblLook w:val="01E0" w:firstRow="1" w:lastRow="1" w:firstColumn="1" w:lastColumn="1" w:noHBand="0" w:noVBand="0"/>
    </w:tblPr>
    <w:tblGrid>
      <w:gridCol w:w="6826"/>
      <w:gridCol w:w="1536"/>
    </w:tblGrid>
    <w:tr w:rsidR="00C90EE5" w:rsidRPr="00440E0F" w:rsidTr="008760B6">
      <w:tc>
        <w:tcPr>
          <w:tcW w:w="8208" w:type="dxa"/>
          <w:shd w:val="clear" w:color="auto" w:fill="auto"/>
        </w:tcPr>
        <w:p w:rsidR="00C90EE5" w:rsidRPr="00440E0F" w:rsidRDefault="00C90EE5" w:rsidP="008760B6">
          <w:pPr>
            <w:pStyle w:val="Encabezado"/>
            <w:rPr>
              <w:rFonts w:ascii="Verdana" w:hAnsi="Verdana"/>
              <w:sz w:val="16"/>
              <w:szCs w:val="16"/>
            </w:rPr>
          </w:pPr>
          <w:r w:rsidRPr="00440E0F">
            <w:rPr>
              <w:rFonts w:ascii="Verdana" w:hAnsi="Verdana"/>
              <w:sz w:val="16"/>
              <w:szCs w:val="16"/>
            </w:rPr>
            <w:t>La información resaltada en negrita en el presente documento es especialmente relevante</w:t>
          </w:r>
        </w:p>
      </w:tc>
      <w:tc>
        <w:tcPr>
          <w:tcW w:w="1796" w:type="dxa"/>
          <w:shd w:val="clear" w:color="auto" w:fill="auto"/>
        </w:tcPr>
        <w:p w:rsidR="00C90EE5" w:rsidRPr="00440E0F" w:rsidRDefault="00C90EE5" w:rsidP="008760B6">
          <w:pPr>
            <w:pStyle w:val="Encabezado"/>
            <w:jc w:val="right"/>
            <w:rPr>
              <w:rFonts w:ascii="Verdana" w:hAnsi="Verdana"/>
              <w:sz w:val="16"/>
              <w:szCs w:val="16"/>
            </w:rPr>
          </w:pPr>
          <w:r w:rsidRPr="00440E0F">
            <w:rPr>
              <w:rFonts w:ascii="Verdana" w:hAnsi="Verdana"/>
              <w:sz w:val="16"/>
              <w:szCs w:val="16"/>
            </w:rPr>
            <w:t>FIPRE</w:t>
          </w:r>
        </w:p>
      </w:tc>
    </w:tr>
  </w:tbl>
  <w:p w:rsidR="00C90EE5" w:rsidRDefault="00C90E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6pt;height:8.6pt" o:bullet="t">
        <v:imagedata r:id="rId1" o:title="BD10267_"/>
      </v:shape>
    </w:pict>
  </w:numPicBullet>
  <w:numPicBullet w:numPicBulletId="1">
    <w:pict>
      <v:shape id="_x0000_i1055" type="#_x0000_t75" style="width:8.6pt;height:8.6pt" o:bullet="t">
        <v:imagedata r:id="rId2" o:title="BD10267_"/>
      </v:shape>
    </w:pict>
  </w:numPicBullet>
  <w:abstractNum w:abstractNumId="0">
    <w:nsid w:val="0351742F"/>
    <w:multiLevelType w:val="hybridMultilevel"/>
    <w:tmpl w:val="BDEA3786"/>
    <w:lvl w:ilvl="0" w:tplc="8FA2B354">
      <w:start w:val="1"/>
      <w:numFmt w:val="bullet"/>
      <w:lvlText w:val=""/>
      <w:lvlPicBulletId w:val="0"/>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F7721D"/>
    <w:multiLevelType w:val="hybridMultilevel"/>
    <w:tmpl w:val="77009A3C"/>
    <w:lvl w:ilvl="0" w:tplc="793A158E">
      <w:start w:val="1"/>
      <w:numFmt w:val="bullet"/>
      <w:lvlText w:val=""/>
      <w:lvlPicBulletId w:val="0"/>
      <w:lvlJc w:val="left"/>
      <w:pPr>
        <w:ind w:left="720" w:hanging="360"/>
      </w:pPr>
      <w:rPr>
        <w:rFonts w:ascii="Symbol" w:hAnsi="Symbol" w:hint="default"/>
        <w:color w:val="auto"/>
        <w:sz w:val="14"/>
        <w:szCs w:val="1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721C51"/>
    <w:multiLevelType w:val="hybridMultilevel"/>
    <w:tmpl w:val="48A2D2A0"/>
    <w:lvl w:ilvl="0" w:tplc="E8B62E4A">
      <w:start w:val="1"/>
      <w:numFmt w:val="decimal"/>
      <w:lvlText w:val="%1."/>
      <w:lvlJc w:val="left"/>
      <w:pPr>
        <w:tabs>
          <w:tab w:val="num" w:pos="910"/>
        </w:tabs>
        <w:ind w:left="1010" w:hanging="30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FE23E9"/>
    <w:multiLevelType w:val="hybridMultilevel"/>
    <w:tmpl w:val="9536CFD8"/>
    <w:lvl w:ilvl="0" w:tplc="1FFC53AC">
      <w:start w:val="1"/>
      <w:numFmt w:val="bullet"/>
      <w:lvlText w:val=""/>
      <w:lvlPicBulletId w:val="0"/>
      <w:lvlJc w:val="left"/>
      <w:pPr>
        <w:tabs>
          <w:tab w:val="num" w:pos="644"/>
        </w:tabs>
        <w:ind w:left="644" w:hanging="284"/>
      </w:pPr>
      <w:rPr>
        <w:rFonts w:ascii="Symbol" w:hAnsi="Symbol" w:hint="default"/>
        <w:color w:val="auto"/>
        <w:sz w:val="14"/>
        <w:szCs w:val="14"/>
      </w:rPr>
    </w:lvl>
    <w:lvl w:ilvl="1" w:tplc="5302FE60">
      <w:start w:val="1"/>
      <w:numFmt w:val="bullet"/>
      <w:lvlText w:val=""/>
      <w:lvlJc w:val="left"/>
      <w:pPr>
        <w:tabs>
          <w:tab w:val="num" w:pos="1800"/>
        </w:tabs>
        <w:ind w:left="1800" w:hanging="360"/>
      </w:pPr>
      <w:rPr>
        <w:rFonts w:ascii="Symbol" w:hAnsi="Symbol" w:hint="default"/>
        <w:color w:val="1F497D"/>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3E864E7"/>
    <w:multiLevelType w:val="hybridMultilevel"/>
    <w:tmpl w:val="9AA8CCB8"/>
    <w:lvl w:ilvl="0" w:tplc="3F3E9ECA">
      <w:start w:val="1"/>
      <w:numFmt w:val="bullet"/>
      <w:lvlText w:val=""/>
      <w:lvlPicBulletId w:val="0"/>
      <w:lvlJc w:val="left"/>
      <w:pPr>
        <w:tabs>
          <w:tab w:val="num" w:pos="284"/>
        </w:tabs>
        <w:ind w:left="284" w:hanging="284"/>
      </w:pPr>
      <w:rPr>
        <w:rFonts w:ascii="Symbol" w:hAnsi="Symbol" w:hint="default"/>
        <w:color w:val="auto"/>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8F65B0D"/>
    <w:multiLevelType w:val="hybridMultilevel"/>
    <w:tmpl w:val="EBF23872"/>
    <w:lvl w:ilvl="0" w:tplc="EE34FF26">
      <w:start w:val="1"/>
      <w:numFmt w:val="bullet"/>
      <w:lvlText w:val=""/>
      <w:lvlPicBulletId w:val="1"/>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EB202E"/>
    <w:multiLevelType w:val="hybridMultilevel"/>
    <w:tmpl w:val="FA82EB92"/>
    <w:lvl w:ilvl="0" w:tplc="F98E4EDA">
      <w:start w:val="1"/>
      <w:numFmt w:val="decimal"/>
      <w:lvlText w:val="%1."/>
      <w:lvlJc w:val="left"/>
      <w:pPr>
        <w:ind w:left="720" w:hanging="360"/>
      </w:pPr>
      <w:rPr>
        <w:rFonts w:ascii="Arial" w:hAnsi="Arial" w:cs="Arial"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F0109B"/>
    <w:multiLevelType w:val="hybridMultilevel"/>
    <w:tmpl w:val="D1AE9098"/>
    <w:lvl w:ilvl="0" w:tplc="A2260AA6">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nsid w:val="32EE0745"/>
    <w:multiLevelType w:val="hybridMultilevel"/>
    <w:tmpl w:val="2AF43BB8"/>
    <w:lvl w:ilvl="0" w:tplc="933029E4">
      <w:start w:val="1"/>
      <w:numFmt w:val="bullet"/>
      <w:lvlText w:val=""/>
      <w:lvlPicBulletId w:val="0"/>
      <w:lvlJc w:val="left"/>
      <w:pPr>
        <w:tabs>
          <w:tab w:val="num" w:pos="284"/>
        </w:tabs>
        <w:ind w:left="284" w:hanging="284"/>
      </w:pPr>
      <w:rPr>
        <w:rFonts w:ascii="Symbol" w:hAnsi="Symbol" w:hint="default"/>
        <w:color w:val="auto"/>
        <w:sz w:val="14"/>
        <w:szCs w:val="14"/>
      </w:rPr>
    </w:lvl>
    <w:lvl w:ilvl="1" w:tplc="5302FE60">
      <w:start w:val="1"/>
      <w:numFmt w:val="bullet"/>
      <w:lvlText w:val=""/>
      <w:lvlJc w:val="left"/>
      <w:pPr>
        <w:tabs>
          <w:tab w:val="num" w:pos="1440"/>
        </w:tabs>
        <w:ind w:left="1440" w:hanging="360"/>
      </w:pPr>
      <w:rPr>
        <w:rFonts w:ascii="Symbol" w:hAnsi="Symbol" w:hint="default"/>
        <w:color w:val="1F497D"/>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56E7831"/>
    <w:multiLevelType w:val="hybridMultilevel"/>
    <w:tmpl w:val="A16C365E"/>
    <w:lvl w:ilvl="0" w:tplc="5E4AB0B2">
      <w:start w:val="1"/>
      <w:numFmt w:val="bullet"/>
      <w:lvlText w:val=""/>
      <w:lvlPicBulletId w:val="0"/>
      <w:lvlJc w:val="left"/>
      <w:pPr>
        <w:tabs>
          <w:tab w:val="num" w:pos="284"/>
        </w:tabs>
        <w:ind w:left="284" w:hanging="284"/>
      </w:pPr>
      <w:rPr>
        <w:rFonts w:ascii="Symbol" w:hAnsi="Symbol" w:hint="default"/>
        <w:color w:val="auto"/>
        <w:sz w:val="16"/>
        <w:szCs w:val="16"/>
      </w:rPr>
    </w:lvl>
    <w:lvl w:ilvl="1" w:tplc="76B44232">
      <w:start w:val="1"/>
      <w:numFmt w:val="bullet"/>
      <w:lvlText w:val=""/>
      <w:lvlPicBulletId w:val="0"/>
      <w:lvlJc w:val="left"/>
      <w:pPr>
        <w:tabs>
          <w:tab w:val="num" w:pos="1440"/>
        </w:tabs>
        <w:ind w:left="1440" w:hanging="360"/>
      </w:pPr>
      <w:rPr>
        <w:rFonts w:ascii="Symbol" w:hAnsi="Symbol" w:hint="default"/>
        <w:color w:val="auto"/>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374D51"/>
    <w:multiLevelType w:val="hybridMultilevel"/>
    <w:tmpl w:val="BDB437CA"/>
    <w:lvl w:ilvl="0" w:tplc="B9E2A1DE">
      <w:start w:val="1"/>
      <w:numFmt w:val="decimal"/>
      <w:lvlText w:val="%1."/>
      <w:lvlJc w:val="left"/>
      <w:pPr>
        <w:ind w:left="1287" w:hanging="360"/>
      </w:pPr>
      <w:rPr>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nsid w:val="4E3A3AE6"/>
    <w:multiLevelType w:val="hybridMultilevel"/>
    <w:tmpl w:val="F3664684"/>
    <w:lvl w:ilvl="0" w:tplc="8EF25142">
      <w:start w:val="1"/>
      <w:numFmt w:val="decimal"/>
      <w:lvlText w:val="%1."/>
      <w:lvlJc w:val="left"/>
      <w:pPr>
        <w:ind w:left="1440" w:hanging="360"/>
      </w:pPr>
      <w:rPr>
        <w:rFonts w:ascii="Verdana" w:hAnsi="Verdana" w:hint="default"/>
        <w:color w:val="auto"/>
        <w:sz w:val="20"/>
        <w:szCs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57A87E22"/>
    <w:multiLevelType w:val="hybridMultilevel"/>
    <w:tmpl w:val="D3B6925E"/>
    <w:lvl w:ilvl="0" w:tplc="BEF8C7C0">
      <w:start w:val="1"/>
      <w:numFmt w:val="bullet"/>
      <w:lvlText w:val=""/>
      <w:lvlPicBulletId w:val="0"/>
      <w:lvlJc w:val="left"/>
      <w:pPr>
        <w:tabs>
          <w:tab w:val="num" w:pos="1080"/>
        </w:tabs>
        <w:ind w:left="1080" w:hanging="360"/>
      </w:pPr>
      <w:rPr>
        <w:rFonts w:ascii="Symbol" w:hAnsi="Symbol" w:hint="default"/>
        <w:color w:val="auto"/>
        <w:sz w:val="14"/>
        <w:szCs w:val="14"/>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57D66B93"/>
    <w:multiLevelType w:val="hybridMultilevel"/>
    <w:tmpl w:val="62FCC4B6"/>
    <w:lvl w:ilvl="0" w:tplc="260880CE">
      <w:start w:val="1"/>
      <w:numFmt w:val="bullet"/>
      <w:lvlText w:val=""/>
      <w:lvlPicBulletId w:val="1"/>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572D47"/>
    <w:multiLevelType w:val="hybridMultilevel"/>
    <w:tmpl w:val="672A1932"/>
    <w:lvl w:ilvl="0" w:tplc="E5A0C02C">
      <w:start w:val="1"/>
      <w:numFmt w:val="bullet"/>
      <w:lvlText w:val=""/>
      <w:lvlPicBulletId w:val="0"/>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44113C"/>
    <w:multiLevelType w:val="hybridMultilevel"/>
    <w:tmpl w:val="A9F83FF2"/>
    <w:lvl w:ilvl="0" w:tplc="76B44232">
      <w:start w:val="1"/>
      <w:numFmt w:val="bullet"/>
      <w:lvlText w:val=""/>
      <w:lvlPicBulletId w:val="1"/>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C335BF7"/>
    <w:multiLevelType w:val="hybridMultilevel"/>
    <w:tmpl w:val="06A2BD44"/>
    <w:lvl w:ilvl="0" w:tplc="F7F044CE">
      <w:start w:val="4"/>
      <w:numFmt w:val="decimal"/>
      <w:lvlText w:val="%1."/>
      <w:lvlJc w:val="left"/>
      <w:pPr>
        <w:ind w:left="1996" w:hanging="360"/>
      </w:pPr>
      <w:rPr>
        <w:rFont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7">
    <w:nsid w:val="6D3D7CE4"/>
    <w:multiLevelType w:val="hybridMultilevel"/>
    <w:tmpl w:val="04849E78"/>
    <w:lvl w:ilvl="0" w:tplc="76B44232">
      <w:start w:val="1"/>
      <w:numFmt w:val="bullet"/>
      <w:lvlText w:val=""/>
      <w:lvlPicBulletId w:val="1"/>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24A6461"/>
    <w:multiLevelType w:val="hybridMultilevel"/>
    <w:tmpl w:val="246CA020"/>
    <w:lvl w:ilvl="0" w:tplc="5B0E7B72">
      <w:start w:val="1"/>
      <w:numFmt w:val="bullet"/>
      <w:lvlText w:val=""/>
      <w:lvlPicBulletId w:val="0"/>
      <w:lvlJc w:val="left"/>
      <w:pPr>
        <w:tabs>
          <w:tab w:val="num" w:pos="284"/>
        </w:tabs>
        <w:ind w:left="284" w:hanging="284"/>
      </w:pPr>
      <w:rPr>
        <w:rFonts w:ascii="Symbol" w:hAnsi="Symbol" w:hint="default"/>
        <w:color w:val="auto"/>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2AA3A31"/>
    <w:multiLevelType w:val="hybridMultilevel"/>
    <w:tmpl w:val="7630A2EA"/>
    <w:lvl w:ilvl="0" w:tplc="D0BE897C">
      <w:start w:val="12"/>
      <w:numFmt w:val="decimal"/>
      <w:lvlText w:val="%1."/>
      <w:lvlJc w:val="left"/>
      <w:pPr>
        <w:tabs>
          <w:tab w:val="num" w:pos="910"/>
        </w:tabs>
        <w:ind w:left="1010" w:hanging="3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A6D0C93"/>
    <w:multiLevelType w:val="hybridMultilevel"/>
    <w:tmpl w:val="5FD83508"/>
    <w:lvl w:ilvl="0" w:tplc="C6A659F4">
      <w:start w:val="1"/>
      <w:numFmt w:val="bullet"/>
      <w:lvlText w:val=""/>
      <w:lvlPicBulletId w:val="0"/>
      <w:lvlJc w:val="left"/>
      <w:pPr>
        <w:tabs>
          <w:tab w:val="num" w:pos="2130"/>
        </w:tabs>
        <w:ind w:left="2130" w:hanging="360"/>
      </w:pPr>
      <w:rPr>
        <w:rFonts w:ascii="Symbol" w:hAnsi="Symbol" w:hint="default"/>
        <w:color w:val="auto"/>
        <w:sz w:val="14"/>
        <w:szCs w:val="14"/>
      </w:rPr>
    </w:lvl>
    <w:lvl w:ilvl="1" w:tplc="E8B62E4A">
      <w:start w:val="1"/>
      <w:numFmt w:val="decimal"/>
      <w:lvlText w:val="%2."/>
      <w:lvlJc w:val="left"/>
      <w:pPr>
        <w:tabs>
          <w:tab w:val="num" w:pos="1280"/>
        </w:tabs>
        <w:ind w:left="1380" w:hanging="30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F147D03"/>
    <w:multiLevelType w:val="hybridMultilevel"/>
    <w:tmpl w:val="2C0AEE8C"/>
    <w:lvl w:ilvl="0" w:tplc="0C0A0005">
      <w:start w:val="1"/>
      <w:numFmt w:val="bullet"/>
      <w:lvlText w:val=""/>
      <w:lvlJc w:val="left"/>
      <w:pPr>
        <w:tabs>
          <w:tab w:val="num" w:pos="2130"/>
        </w:tabs>
        <w:ind w:left="2130" w:hanging="360"/>
      </w:pPr>
      <w:rPr>
        <w:rFonts w:ascii="Wingdings" w:hAnsi="Wingdings" w:hint="default"/>
      </w:rPr>
    </w:lvl>
    <w:lvl w:ilvl="1" w:tplc="E8B62E4A">
      <w:start w:val="1"/>
      <w:numFmt w:val="decimal"/>
      <w:lvlText w:val="%2."/>
      <w:lvlJc w:val="left"/>
      <w:pPr>
        <w:tabs>
          <w:tab w:val="num" w:pos="910"/>
        </w:tabs>
        <w:ind w:left="1010" w:hanging="30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21"/>
  </w:num>
  <w:num w:numId="4">
    <w:abstractNumId w:val="14"/>
  </w:num>
  <w:num w:numId="5">
    <w:abstractNumId w:val="8"/>
  </w:num>
  <w:num w:numId="6">
    <w:abstractNumId w:val="0"/>
  </w:num>
  <w:num w:numId="7">
    <w:abstractNumId w:val="11"/>
  </w:num>
  <w:num w:numId="8">
    <w:abstractNumId w:val="18"/>
  </w:num>
  <w:num w:numId="9">
    <w:abstractNumId w:val="4"/>
  </w:num>
  <w:num w:numId="10">
    <w:abstractNumId w:val="10"/>
  </w:num>
  <w:num w:numId="11">
    <w:abstractNumId w:val="7"/>
  </w:num>
  <w:num w:numId="12">
    <w:abstractNumId w:val="20"/>
  </w:num>
  <w:num w:numId="13">
    <w:abstractNumId w:val="1"/>
  </w:num>
  <w:num w:numId="14">
    <w:abstractNumId w:val="6"/>
  </w:num>
  <w:num w:numId="15">
    <w:abstractNumId w:val="15"/>
  </w:num>
  <w:num w:numId="16">
    <w:abstractNumId w:val="13"/>
  </w:num>
  <w:num w:numId="17">
    <w:abstractNumId w:val="9"/>
  </w:num>
  <w:num w:numId="18">
    <w:abstractNumId w:val="17"/>
  </w:num>
  <w:num w:numId="19">
    <w:abstractNumId w:val="5"/>
  </w:num>
  <w:num w:numId="20">
    <w:abstractNumId w:val="2"/>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jlWuIe40Kom03xo4MfUg9aGU5gI=" w:salt="VB8l7+npchycPMlzOTwX7Q=="/>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14"/>
    <w:rsid w:val="00003060"/>
    <w:rsid w:val="00003819"/>
    <w:rsid w:val="00022860"/>
    <w:rsid w:val="000232D5"/>
    <w:rsid w:val="0002789C"/>
    <w:rsid w:val="00036161"/>
    <w:rsid w:val="00037401"/>
    <w:rsid w:val="000669A9"/>
    <w:rsid w:val="0007088C"/>
    <w:rsid w:val="00072DC0"/>
    <w:rsid w:val="00077ED6"/>
    <w:rsid w:val="00082EF1"/>
    <w:rsid w:val="00092409"/>
    <w:rsid w:val="00092926"/>
    <w:rsid w:val="00093F48"/>
    <w:rsid w:val="0009745B"/>
    <w:rsid w:val="00097A66"/>
    <w:rsid w:val="000A3B8C"/>
    <w:rsid w:val="000A67B8"/>
    <w:rsid w:val="000B5BBD"/>
    <w:rsid w:val="000C4900"/>
    <w:rsid w:val="000D1833"/>
    <w:rsid w:val="000E09F3"/>
    <w:rsid w:val="000E0DF3"/>
    <w:rsid w:val="000E1492"/>
    <w:rsid w:val="000E3D44"/>
    <w:rsid w:val="000E7FE0"/>
    <w:rsid w:val="001006EB"/>
    <w:rsid w:val="00103371"/>
    <w:rsid w:val="001059C4"/>
    <w:rsid w:val="00112613"/>
    <w:rsid w:val="00125ACD"/>
    <w:rsid w:val="00145C6C"/>
    <w:rsid w:val="00157357"/>
    <w:rsid w:val="00164A3B"/>
    <w:rsid w:val="00170397"/>
    <w:rsid w:val="001720AF"/>
    <w:rsid w:val="00175C0D"/>
    <w:rsid w:val="00176585"/>
    <w:rsid w:val="00184E15"/>
    <w:rsid w:val="00194EEC"/>
    <w:rsid w:val="00197BAE"/>
    <w:rsid w:val="001A16A7"/>
    <w:rsid w:val="001D5446"/>
    <w:rsid w:val="001D76D3"/>
    <w:rsid w:val="001E7BD3"/>
    <w:rsid w:val="00203F9C"/>
    <w:rsid w:val="002066DC"/>
    <w:rsid w:val="00214B3E"/>
    <w:rsid w:val="00221400"/>
    <w:rsid w:val="00222529"/>
    <w:rsid w:val="002265A6"/>
    <w:rsid w:val="00232B37"/>
    <w:rsid w:val="00234D3B"/>
    <w:rsid w:val="002406D9"/>
    <w:rsid w:val="00240F2D"/>
    <w:rsid w:val="002471F5"/>
    <w:rsid w:val="00253765"/>
    <w:rsid w:val="00284CFF"/>
    <w:rsid w:val="00286897"/>
    <w:rsid w:val="002A1ED7"/>
    <w:rsid w:val="002A1FBE"/>
    <w:rsid w:val="002A7CF8"/>
    <w:rsid w:val="002D128B"/>
    <w:rsid w:val="002D6714"/>
    <w:rsid w:val="002F10B2"/>
    <w:rsid w:val="002F3B55"/>
    <w:rsid w:val="00313B4B"/>
    <w:rsid w:val="003373FE"/>
    <w:rsid w:val="00350FF4"/>
    <w:rsid w:val="00356442"/>
    <w:rsid w:val="00360140"/>
    <w:rsid w:val="003675E4"/>
    <w:rsid w:val="00372D59"/>
    <w:rsid w:val="003771E1"/>
    <w:rsid w:val="003843BC"/>
    <w:rsid w:val="003846C1"/>
    <w:rsid w:val="00390CB0"/>
    <w:rsid w:val="00391576"/>
    <w:rsid w:val="00395790"/>
    <w:rsid w:val="003A052C"/>
    <w:rsid w:val="003C5C2A"/>
    <w:rsid w:val="003D19C3"/>
    <w:rsid w:val="003D4989"/>
    <w:rsid w:val="003D52AE"/>
    <w:rsid w:val="003F2179"/>
    <w:rsid w:val="003F7D17"/>
    <w:rsid w:val="00405FC3"/>
    <w:rsid w:val="00424269"/>
    <w:rsid w:val="00433958"/>
    <w:rsid w:val="00434814"/>
    <w:rsid w:val="0044632A"/>
    <w:rsid w:val="00450969"/>
    <w:rsid w:val="004519FD"/>
    <w:rsid w:val="0045549C"/>
    <w:rsid w:val="00457957"/>
    <w:rsid w:val="004626A7"/>
    <w:rsid w:val="004653AC"/>
    <w:rsid w:val="004752DC"/>
    <w:rsid w:val="00484250"/>
    <w:rsid w:val="0048593E"/>
    <w:rsid w:val="00490CCD"/>
    <w:rsid w:val="004922E0"/>
    <w:rsid w:val="004954E8"/>
    <w:rsid w:val="004A066D"/>
    <w:rsid w:val="004A0A6D"/>
    <w:rsid w:val="004A1720"/>
    <w:rsid w:val="004A33C3"/>
    <w:rsid w:val="004A5894"/>
    <w:rsid w:val="004B6B44"/>
    <w:rsid w:val="004D2FFB"/>
    <w:rsid w:val="004E6E16"/>
    <w:rsid w:val="004F5DD4"/>
    <w:rsid w:val="00506F77"/>
    <w:rsid w:val="0053006D"/>
    <w:rsid w:val="00533DF4"/>
    <w:rsid w:val="0053687D"/>
    <w:rsid w:val="0054199B"/>
    <w:rsid w:val="0054445B"/>
    <w:rsid w:val="00551D32"/>
    <w:rsid w:val="00552040"/>
    <w:rsid w:val="00555E38"/>
    <w:rsid w:val="005601BA"/>
    <w:rsid w:val="0056157C"/>
    <w:rsid w:val="00573CAB"/>
    <w:rsid w:val="00581FA3"/>
    <w:rsid w:val="00593843"/>
    <w:rsid w:val="0059452D"/>
    <w:rsid w:val="00595484"/>
    <w:rsid w:val="005A3460"/>
    <w:rsid w:val="005A51EC"/>
    <w:rsid w:val="005B5A89"/>
    <w:rsid w:val="005C47F8"/>
    <w:rsid w:val="005D13B7"/>
    <w:rsid w:val="005D3123"/>
    <w:rsid w:val="005E1A71"/>
    <w:rsid w:val="005F6F68"/>
    <w:rsid w:val="00601751"/>
    <w:rsid w:val="006124EA"/>
    <w:rsid w:val="006310F3"/>
    <w:rsid w:val="00633457"/>
    <w:rsid w:val="006504D8"/>
    <w:rsid w:val="00656221"/>
    <w:rsid w:val="00657760"/>
    <w:rsid w:val="00661EFC"/>
    <w:rsid w:val="00667E9F"/>
    <w:rsid w:val="00667ECF"/>
    <w:rsid w:val="006704AD"/>
    <w:rsid w:val="0067377E"/>
    <w:rsid w:val="0067663E"/>
    <w:rsid w:val="00692B09"/>
    <w:rsid w:val="006A08B9"/>
    <w:rsid w:val="006B27C4"/>
    <w:rsid w:val="006C1847"/>
    <w:rsid w:val="006C798D"/>
    <w:rsid w:val="006D4BDB"/>
    <w:rsid w:val="006E1DB6"/>
    <w:rsid w:val="006E3135"/>
    <w:rsid w:val="006E3DEC"/>
    <w:rsid w:val="006E4650"/>
    <w:rsid w:val="006F74ED"/>
    <w:rsid w:val="00716197"/>
    <w:rsid w:val="00723E45"/>
    <w:rsid w:val="00725104"/>
    <w:rsid w:val="007370FC"/>
    <w:rsid w:val="007400AC"/>
    <w:rsid w:val="00745951"/>
    <w:rsid w:val="007534A7"/>
    <w:rsid w:val="00775EB6"/>
    <w:rsid w:val="007B4D15"/>
    <w:rsid w:val="007E64E8"/>
    <w:rsid w:val="00801BB2"/>
    <w:rsid w:val="00806F02"/>
    <w:rsid w:val="00807C80"/>
    <w:rsid w:val="00825D9A"/>
    <w:rsid w:val="00836026"/>
    <w:rsid w:val="0084545E"/>
    <w:rsid w:val="00857EA3"/>
    <w:rsid w:val="008609A8"/>
    <w:rsid w:val="00866244"/>
    <w:rsid w:val="008760B6"/>
    <w:rsid w:val="00880451"/>
    <w:rsid w:val="008912C1"/>
    <w:rsid w:val="008A0C4E"/>
    <w:rsid w:val="008B1BEB"/>
    <w:rsid w:val="008C08C6"/>
    <w:rsid w:val="008C52B9"/>
    <w:rsid w:val="008D60C4"/>
    <w:rsid w:val="008E436F"/>
    <w:rsid w:val="008E4380"/>
    <w:rsid w:val="008F2E79"/>
    <w:rsid w:val="008F302C"/>
    <w:rsid w:val="009131EA"/>
    <w:rsid w:val="009173AA"/>
    <w:rsid w:val="0094436B"/>
    <w:rsid w:val="00946269"/>
    <w:rsid w:val="0095053B"/>
    <w:rsid w:val="00954AC2"/>
    <w:rsid w:val="00961FC4"/>
    <w:rsid w:val="0096321E"/>
    <w:rsid w:val="0096372C"/>
    <w:rsid w:val="00964850"/>
    <w:rsid w:val="00965884"/>
    <w:rsid w:val="009702D2"/>
    <w:rsid w:val="0097071B"/>
    <w:rsid w:val="009726A6"/>
    <w:rsid w:val="00974F2B"/>
    <w:rsid w:val="00976DD9"/>
    <w:rsid w:val="00976F79"/>
    <w:rsid w:val="0098452E"/>
    <w:rsid w:val="00992577"/>
    <w:rsid w:val="009A1FB9"/>
    <w:rsid w:val="009A6F14"/>
    <w:rsid w:val="009B5A4E"/>
    <w:rsid w:val="009C093A"/>
    <w:rsid w:val="009C2443"/>
    <w:rsid w:val="009C6D36"/>
    <w:rsid w:val="009D31A3"/>
    <w:rsid w:val="009D4DAC"/>
    <w:rsid w:val="00A012EE"/>
    <w:rsid w:val="00A102B9"/>
    <w:rsid w:val="00A144F6"/>
    <w:rsid w:val="00A150C3"/>
    <w:rsid w:val="00A15420"/>
    <w:rsid w:val="00A233DF"/>
    <w:rsid w:val="00A3197A"/>
    <w:rsid w:val="00A33F15"/>
    <w:rsid w:val="00A42E4A"/>
    <w:rsid w:val="00A716F8"/>
    <w:rsid w:val="00A779D8"/>
    <w:rsid w:val="00A96E90"/>
    <w:rsid w:val="00AB320B"/>
    <w:rsid w:val="00AC0B12"/>
    <w:rsid w:val="00AC79B7"/>
    <w:rsid w:val="00AD48A5"/>
    <w:rsid w:val="00AE2668"/>
    <w:rsid w:val="00AF5333"/>
    <w:rsid w:val="00B07431"/>
    <w:rsid w:val="00B118D8"/>
    <w:rsid w:val="00B153F3"/>
    <w:rsid w:val="00B2009E"/>
    <w:rsid w:val="00B2021B"/>
    <w:rsid w:val="00B2230C"/>
    <w:rsid w:val="00B2325E"/>
    <w:rsid w:val="00B4471C"/>
    <w:rsid w:val="00B457E8"/>
    <w:rsid w:val="00B55297"/>
    <w:rsid w:val="00B57F59"/>
    <w:rsid w:val="00B82356"/>
    <w:rsid w:val="00B8704A"/>
    <w:rsid w:val="00B8704F"/>
    <w:rsid w:val="00BA2D04"/>
    <w:rsid w:val="00BA6708"/>
    <w:rsid w:val="00BA7A84"/>
    <w:rsid w:val="00BB07B2"/>
    <w:rsid w:val="00BC5A3D"/>
    <w:rsid w:val="00BC7AC0"/>
    <w:rsid w:val="00C22293"/>
    <w:rsid w:val="00C23D4F"/>
    <w:rsid w:val="00C33449"/>
    <w:rsid w:val="00C371B8"/>
    <w:rsid w:val="00C44B71"/>
    <w:rsid w:val="00C45744"/>
    <w:rsid w:val="00C45D82"/>
    <w:rsid w:val="00C47DAC"/>
    <w:rsid w:val="00C5707D"/>
    <w:rsid w:val="00C90CF8"/>
    <w:rsid w:val="00C90EE5"/>
    <w:rsid w:val="00CA24FC"/>
    <w:rsid w:val="00CC01AA"/>
    <w:rsid w:val="00CC0C57"/>
    <w:rsid w:val="00CC4547"/>
    <w:rsid w:val="00CD235B"/>
    <w:rsid w:val="00CD2495"/>
    <w:rsid w:val="00CF16E5"/>
    <w:rsid w:val="00D018F2"/>
    <w:rsid w:val="00D11F34"/>
    <w:rsid w:val="00D12C1E"/>
    <w:rsid w:val="00D1345D"/>
    <w:rsid w:val="00D224FD"/>
    <w:rsid w:val="00D26B00"/>
    <w:rsid w:val="00D4671F"/>
    <w:rsid w:val="00D47E03"/>
    <w:rsid w:val="00D50490"/>
    <w:rsid w:val="00D50DC8"/>
    <w:rsid w:val="00D512F5"/>
    <w:rsid w:val="00D62420"/>
    <w:rsid w:val="00D655F2"/>
    <w:rsid w:val="00D65746"/>
    <w:rsid w:val="00D82136"/>
    <w:rsid w:val="00D83C28"/>
    <w:rsid w:val="00D84884"/>
    <w:rsid w:val="00D86262"/>
    <w:rsid w:val="00D86852"/>
    <w:rsid w:val="00D91ECC"/>
    <w:rsid w:val="00D93D6F"/>
    <w:rsid w:val="00D95E19"/>
    <w:rsid w:val="00DB7C25"/>
    <w:rsid w:val="00DC0B71"/>
    <w:rsid w:val="00DC7BD6"/>
    <w:rsid w:val="00DD0216"/>
    <w:rsid w:val="00DE0494"/>
    <w:rsid w:val="00DE70D4"/>
    <w:rsid w:val="00DF0485"/>
    <w:rsid w:val="00DF6940"/>
    <w:rsid w:val="00DF72E4"/>
    <w:rsid w:val="00E0013E"/>
    <w:rsid w:val="00E04580"/>
    <w:rsid w:val="00E06BD9"/>
    <w:rsid w:val="00E13366"/>
    <w:rsid w:val="00E1617B"/>
    <w:rsid w:val="00E2137A"/>
    <w:rsid w:val="00E3381D"/>
    <w:rsid w:val="00E37FBD"/>
    <w:rsid w:val="00E54998"/>
    <w:rsid w:val="00E55F52"/>
    <w:rsid w:val="00E57A6A"/>
    <w:rsid w:val="00E64567"/>
    <w:rsid w:val="00E838C5"/>
    <w:rsid w:val="00E92C61"/>
    <w:rsid w:val="00E97CA0"/>
    <w:rsid w:val="00EA36A0"/>
    <w:rsid w:val="00EA6A92"/>
    <w:rsid w:val="00EB5325"/>
    <w:rsid w:val="00EB58A0"/>
    <w:rsid w:val="00EE141F"/>
    <w:rsid w:val="00EE2180"/>
    <w:rsid w:val="00EE3A43"/>
    <w:rsid w:val="00EF6EB7"/>
    <w:rsid w:val="00F00DC7"/>
    <w:rsid w:val="00F079A8"/>
    <w:rsid w:val="00F166BD"/>
    <w:rsid w:val="00F20D83"/>
    <w:rsid w:val="00F256BC"/>
    <w:rsid w:val="00F46559"/>
    <w:rsid w:val="00F51AB4"/>
    <w:rsid w:val="00F51E36"/>
    <w:rsid w:val="00F52A06"/>
    <w:rsid w:val="00F624FF"/>
    <w:rsid w:val="00F67974"/>
    <w:rsid w:val="00F67B60"/>
    <w:rsid w:val="00F7025D"/>
    <w:rsid w:val="00F703A9"/>
    <w:rsid w:val="00FA008B"/>
    <w:rsid w:val="00FA40AE"/>
    <w:rsid w:val="00FA5849"/>
    <w:rsid w:val="00FB3082"/>
    <w:rsid w:val="00FB5D7C"/>
    <w:rsid w:val="00FC1A79"/>
    <w:rsid w:val="00FC2F8D"/>
    <w:rsid w:val="00FC3929"/>
    <w:rsid w:val="00FC3D0E"/>
    <w:rsid w:val="00FC6403"/>
    <w:rsid w:val="00FD0DB9"/>
    <w:rsid w:val="00FD4CAE"/>
    <w:rsid w:val="00FD4F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0D"/>
    <w:rPr>
      <w:lang w:val="es-ES_tradnl" w:eastAsia="es-ES"/>
    </w:rPr>
  </w:style>
  <w:style w:type="paragraph" w:styleId="Ttulo1">
    <w:name w:val="heading 1"/>
    <w:basedOn w:val="Normal"/>
    <w:next w:val="Normal"/>
    <w:link w:val="Ttulo1Car"/>
    <w:qFormat/>
    <w:rsid w:val="00175C0D"/>
    <w:pPr>
      <w:keepNext/>
      <w:spacing w:line="240" w:lineRule="atLeast"/>
      <w:ind w:right="-568"/>
      <w:jc w:val="center"/>
      <w:outlineLvl w:val="0"/>
    </w:pPr>
    <w:rPr>
      <w:rFonts w:ascii="Arial" w:hAnsi="Arial"/>
      <w:b/>
      <w:spacing w:val="20"/>
      <w:sz w:val="32"/>
    </w:rPr>
  </w:style>
  <w:style w:type="paragraph" w:styleId="Ttulo2">
    <w:name w:val="heading 2"/>
    <w:basedOn w:val="Normal"/>
    <w:next w:val="Normal"/>
    <w:link w:val="Ttulo2Car"/>
    <w:qFormat/>
    <w:rsid w:val="00175C0D"/>
    <w:pPr>
      <w:keepNext/>
      <w:spacing w:line="360" w:lineRule="auto"/>
      <w:ind w:right="-568"/>
      <w:jc w:val="center"/>
      <w:outlineLvl w:val="1"/>
    </w:pPr>
    <w:rPr>
      <w:rFonts w:ascii="Arial" w:hAnsi="Arial"/>
      <w:b/>
      <w:color w:val="000080"/>
      <w:spacing w:val="20"/>
      <w:sz w:val="32"/>
    </w:rPr>
  </w:style>
  <w:style w:type="paragraph" w:styleId="Ttulo3">
    <w:name w:val="heading 3"/>
    <w:basedOn w:val="Normal"/>
    <w:next w:val="Normal"/>
    <w:link w:val="Ttulo3Car"/>
    <w:uiPriority w:val="9"/>
    <w:semiHidden/>
    <w:unhideWhenUsed/>
    <w:qFormat/>
    <w:rsid w:val="00551D32"/>
    <w:pPr>
      <w:keepNext/>
      <w:spacing w:before="240" w:after="60"/>
      <w:outlineLvl w:val="2"/>
    </w:pPr>
    <w:rPr>
      <w:rFonts w:asciiTheme="majorHAnsi" w:eastAsiaTheme="majorEastAsia" w:hAnsiTheme="majorHAnsi" w:cstheme="majorBidi"/>
      <w:b/>
      <w:bCs/>
      <w:sz w:val="26"/>
      <w:szCs w:val="26"/>
    </w:rPr>
  </w:style>
  <w:style w:type="paragraph" w:styleId="Ttulo8">
    <w:name w:val="heading 8"/>
    <w:basedOn w:val="Normal"/>
    <w:next w:val="Normal"/>
    <w:link w:val="Ttulo8Car"/>
    <w:qFormat/>
    <w:rsid w:val="00434814"/>
    <w:pPr>
      <w:keepNext/>
      <w:tabs>
        <w:tab w:val="right" w:pos="-1440"/>
        <w:tab w:val="left" w:pos="-720"/>
        <w:tab w:val="left" w:pos="380"/>
        <w:tab w:val="left" w:leader="dot" w:pos="6237"/>
        <w:tab w:val="left" w:pos="9360"/>
        <w:tab w:val="left" w:pos="10080"/>
      </w:tabs>
      <w:suppressAutoHyphens/>
      <w:ind w:left="380"/>
      <w:jc w:val="both"/>
      <w:outlineLvl w:val="7"/>
    </w:pPr>
    <w:rPr>
      <w:rFonts w:ascii="Univers" w:hAnsi="Univers"/>
      <w:spacing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51D32"/>
    <w:rPr>
      <w:rFonts w:asciiTheme="majorHAnsi" w:eastAsiaTheme="majorEastAsia" w:hAnsiTheme="majorHAnsi" w:cstheme="majorBidi"/>
      <w:b/>
      <w:bCs/>
      <w:sz w:val="26"/>
      <w:szCs w:val="26"/>
      <w:lang w:val="es-ES_tradnl" w:eastAsia="es-ES"/>
    </w:rPr>
  </w:style>
  <w:style w:type="character" w:customStyle="1" w:styleId="Ttulo1Car">
    <w:name w:val="Título 1 Car"/>
    <w:basedOn w:val="Fuentedeprrafopredeter"/>
    <w:link w:val="Ttulo1"/>
    <w:rsid w:val="00175C0D"/>
    <w:rPr>
      <w:rFonts w:ascii="Arial" w:hAnsi="Arial"/>
      <w:b/>
      <w:spacing w:val="20"/>
      <w:sz w:val="32"/>
      <w:lang w:val="es-ES_tradnl" w:eastAsia="es-ES"/>
    </w:rPr>
  </w:style>
  <w:style w:type="character" w:customStyle="1" w:styleId="Ttulo2Car">
    <w:name w:val="Título 2 Car"/>
    <w:basedOn w:val="Fuentedeprrafopredeter"/>
    <w:link w:val="Ttulo2"/>
    <w:rsid w:val="00175C0D"/>
    <w:rPr>
      <w:rFonts w:ascii="Arial" w:hAnsi="Arial"/>
      <w:b/>
      <w:color w:val="000080"/>
      <w:spacing w:val="20"/>
      <w:sz w:val="32"/>
      <w:lang w:val="es-ES_tradnl" w:eastAsia="es-ES"/>
    </w:rPr>
  </w:style>
  <w:style w:type="character" w:customStyle="1" w:styleId="Ttulo8Car">
    <w:name w:val="Título 8 Car"/>
    <w:basedOn w:val="Fuentedeprrafopredeter"/>
    <w:link w:val="Ttulo8"/>
    <w:rsid w:val="00434814"/>
    <w:rPr>
      <w:rFonts w:ascii="Univers" w:hAnsi="Univers"/>
      <w:spacing w:val="-2"/>
      <w:sz w:val="24"/>
      <w:lang w:val="es-ES_tradnl" w:eastAsia="es-ES"/>
    </w:rPr>
  </w:style>
  <w:style w:type="paragraph" w:styleId="Encabezado">
    <w:name w:val="header"/>
    <w:basedOn w:val="Normal"/>
    <w:link w:val="EncabezadoCar"/>
    <w:rsid w:val="00434814"/>
    <w:pPr>
      <w:tabs>
        <w:tab w:val="center" w:pos="4252"/>
        <w:tab w:val="right" w:pos="8504"/>
      </w:tabs>
    </w:pPr>
    <w:rPr>
      <w:sz w:val="24"/>
      <w:szCs w:val="24"/>
      <w:lang w:val="es-ES"/>
    </w:rPr>
  </w:style>
  <w:style w:type="character" w:customStyle="1" w:styleId="EncabezadoCar">
    <w:name w:val="Encabezado Car"/>
    <w:basedOn w:val="Fuentedeprrafopredeter"/>
    <w:link w:val="Encabezado"/>
    <w:rsid w:val="00434814"/>
    <w:rPr>
      <w:sz w:val="24"/>
      <w:szCs w:val="24"/>
      <w:lang w:eastAsia="es-ES"/>
    </w:rPr>
  </w:style>
  <w:style w:type="paragraph" w:styleId="Piedepgina">
    <w:name w:val="footer"/>
    <w:basedOn w:val="Normal"/>
    <w:link w:val="PiedepginaCar"/>
    <w:rsid w:val="00434814"/>
    <w:pPr>
      <w:tabs>
        <w:tab w:val="center" w:pos="4252"/>
        <w:tab w:val="right" w:pos="8504"/>
      </w:tabs>
    </w:pPr>
    <w:rPr>
      <w:sz w:val="24"/>
      <w:szCs w:val="24"/>
      <w:lang w:val="es-ES"/>
    </w:rPr>
  </w:style>
  <w:style w:type="character" w:customStyle="1" w:styleId="PiedepginaCar">
    <w:name w:val="Pie de página Car"/>
    <w:basedOn w:val="Fuentedeprrafopredeter"/>
    <w:link w:val="Piedepgina"/>
    <w:rsid w:val="00434814"/>
    <w:rPr>
      <w:sz w:val="24"/>
      <w:szCs w:val="24"/>
      <w:lang w:eastAsia="es-ES"/>
    </w:rPr>
  </w:style>
  <w:style w:type="character" w:styleId="Hipervnculo">
    <w:name w:val="Hyperlink"/>
    <w:rsid w:val="00434814"/>
    <w:rPr>
      <w:color w:val="0000FF"/>
      <w:u w:val="single"/>
    </w:rPr>
  </w:style>
  <w:style w:type="paragraph" w:styleId="Sangradetextonormal">
    <w:name w:val="Body Text Indent"/>
    <w:basedOn w:val="Normal"/>
    <w:link w:val="Sangradetextonormal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4"/>
    </w:rPr>
  </w:style>
  <w:style w:type="character" w:customStyle="1" w:styleId="SangradetextonormalCar">
    <w:name w:val="Sangría de texto normal Car"/>
    <w:basedOn w:val="Fuentedeprrafopredeter"/>
    <w:link w:val="Sangradetextonormal"/>
    <w:rsid w:val="00434814"/>
    <w:rPr>
      <w:rFonts w:ascii="Univers" w:hAnsi="Univers"/>
      <w:spacing w:val="-2"/>
      <w:sz w:val="24"/>
      <w:lang w:val="es-ES_tradnl" w:eastAsia="es-ES"/>
    </w:rPr>
  </w:style>
  <w:style w:type="paragraph" w:styleId="Sangra2detindependiente">
    <w:name w:val="Body Text Indent 2"/>
    <w:basedOn w:val="Normal"/>
    <w:link w:val="Sangra2detindependiente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2"/>
    </w:rPr>
  </w:style>
  <w:style w:type="character" w:customStyle="1" w:styleId="Sangra2detindependienteCar">
    <w:name w:val="Sangría 2 de t. independiente Car"/>
    <w:basedOn w:val="Fuentedeprrafopredeter"/>
    <w:link w:val="Sangra2detindependiente"/>
    <w:rsid w:val="00434814"/>
    <w:rPr>
      <w:rFonts w:ascii="Univers" w:hAnsi="Univers"/>
      <w:spacing w:val="-2"/>
      <w:sz w:val="22"/>
      <w:lang w:val="es-ES_tradnl" w:eastAsia="es-ES"/>
    </w:rPr>
  </w:style>
  <w:style w:type="paragraph" w:styleId="Textoindependiente">
    <w:name w:val="Body Text"/>
    <w:basedOn w:val="Normal"/>
    <w:link w:val="TextoindependienteCar"/>
    <w:rsid w:val="00434814"/>
    <w:pPr>
      <w:spacing w:after="120"/>
    </w:pPr>
    <w:rPr>
      <w:sz w:val="24"/>
      <w:szCs w:val="24"/>
      <w:lang w:val="es-ES"/>
    </w:rPr>
  </w:style>
  <w:style w:type="character" w:customStyle="1" w:styleId="TextoindependienteCar">
    <w:name w:val="Texto independiente Car"/>
    <w:basedOn w:val="Fuentedeprrafopredeter"/>
    <w:link w:val="Textoindependiente"/>
    <w:rsid w:val="00434814"/>
    <w:rPr>
      <w:sz w:val="24"/>
      <w:szCs w:val="24"/>
      <w:lang w:eastAsia="es-ES"/>
    </w:rPr>
  </w:style>
  <w:style w:type="character" w:styleId="Nmerodepgina">
    <w:name w:val="page number"/>
    <w:basedOn w:val="Fuentedeprrafopredeter"/>
    <w:rsid w:val="00434814"/>
  </w:style>
  <w:style w:type="paragraph" w:styleId="Prrafodelista">
    <w:name w:val="List Paragraph"/>
    <w:basedOn w:val="Normal"/>
    <w:uiPriority w:val="34"/>
    <w:qFormat/>
    <w:rsid w:val="00434814"/>
    <w:pPr>
      <w:ind w:left="708"/>
    </w:pPr>
    <w:rPr>
      <w:sz w:val="24"/>
      <w:szCs w:val="24"/>
      <w:lang w:val="es-ES"/>
    </w:rPr>
  </w:style>
  <w:style w:type="paragraph" w:styleId="Textodeglobo">
    <w:name w:val="Balloon Text"/>
    <w:basedOn w:val="Normal"/>
    <w:link w:val="TextodegloboCar"/>
    <w:uiPriority w:val="99"/>
    <w:semiHidden/>
    <w:unhideWhenUsed/>
    <w:rsid w:val="00857EA3"/>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EA3"/>
    <w:rPr>
      <w:rFonts w:ascii="Tahoma" w:hAnsi="Tahoma" w:cs="Tahoma"/>
      <w:sz w:val="16"/>
      <w:szCs w:val="16"/>
      <w:lang w:val="es-ES_tradnl" w:eastAsia="es-ES"/>
    </w:rPr>
  </w:style>
  <w:style w:type="character" w:styleId="Refdecomentario">
    <w:name w:val="annotation reference"/>
    <w:basedOn w:val="Fuentedeprrafopredeter"/>
    <w:uiPriority w:val="99"/>
    <w:semiHidden/>
    <w:unhideWhenUsed/>
    <w:rsid w:val="00391576"/>
    <w:rPr>
      <w:sz w:val="16"/>
      <w:szCs w:val="16"/>
    </w:rPr>
  </w:style>
  <w:style w:type="paragraph" w:styleId="Textocomentario">
    <w:name w:val="annotation text"/>
    <w:basedOn w:val="Normal"/>
    <w:link w:val="TextocomentarioCar"/>
    <w:uiPriority w:val="99"/>
    <w:semiHidden/>
    <w:unhideWhenUsed/>
    <w:rsid w:val="00391576"/>
  </w:style>
  <w:style w:type="character" w:customStyle="1" w:styleId="TextocomentarioCar">
    <w:name w:val="Texto comentario Car"/>
    <w:basedOn w:val="Fuentedeprrafopredeter"/>
    <w:link w:val="Textocomentario"/>
    <w:uiPriority w:val="99"/>
    <w:semiHidden/>
    <w:rsid w:val="0039157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91576"/>
    <w:rPr>
      <w:b/>
      <w:bCs/>
    </w:rPr>
  </w:style>
  <w:style w:type="character" w:customStyle="1" w:styleId="AsuntodelcomentarioCar">
    <w:name w:val="Asunto del comentario Car"/>
    <w:basedOn w:val="TextocomentarioCar"/>
    <w:link w:val="Asuntodelcomentario"/>
    <w:uiPriority w:val="99"/>
    <w:semiHidden/>
    <w:rsid w:val="00391576"/>
    <w:rPr>
      <w:b/>
      <w:bCs/>
      <w:lang w:val="es-ES_tradnl" w:eastAsia="es-ES"/>
    </w:rPr>
  </w:style>
  <w:style w:type="character" w:customStyle="1" w:styleId="aounit1">
    <w:name w:val="ao_unit1"/>
    <w:basedOn w:val="Fuentedeprrafopredeter"/>
    <w:rsid w:val="00E04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0D"/>
    <w:rPr>
      <w:lang w:val="es-ES_tradnl" w:eastAsia="es-ES"/>
    </w:rPr>
  </w:style>
  <w:style w:type="paragraph" w:styleId="Ttulo1">
    <w:name w:val="heading 1"/>
    <w:basedOn w:val="Normal"/>
    <w:next w:val="Normal"/>
    <w:link w:val="Ttulo1Car"/>
    <w:qFormat/>
    <w:rsid w:val="00175C0D"/>
    <w:pPr>
      <w:keepNext/>
      <w:spacing w:line="240" w:lineRule="atLeast"/>
      <w:ind w:right="-568"/>
      <w:jc w:val="center"/>
      <w:outlineLvl w:val="0"/>
    </w:pPr>
    <w:rPr>
      <w:rFonts w:ascii="Arial" w:hAnsi="Arial"/>
      <w:b/>
      <w:spacing w:val="20"/>
      <w:sz w:val="32"/>
    </w:rPr>
  </w:style>
  <w:style w:type="paragraph" w:styleId="Ttulo2">
    <w:name w:val="heading 2"/>
    <w:basedOn w:val="Normal"/>
    <w:next w:val="Normal"/>
    <w:link w:val="Ttulo2Car"/>
    <w:qFormat/>
    <w:rsid w:val="00175C0D"/>
    <w:pPr>
      <w:keepNext/>
      <w:spacing w:line="360" w:lineRule="auto"/>
      <w:ind w:right="-568"/>
      <w:jc w:val="center"/>
      <w:outlineLvl w:val="1"/>
    </w:pPr>
    <w:rPr>
      <w:rFonts w:ascii="Arial" w:hAnsi="Arial"/>
      <w:b/>
      <w:color w:val="000080"/>
      <w:spacing w:val="20"/>
      <w:sz w:val="32"/>
    </w:rPr>
  </w:style>
  <w:style w:type="paragraph" w:styleId="Ttulo3">
    <w:name w:val="heading 3"/>
    <w:basedOn w:val="Normal"/>
    <w:next w:val="Normal"/>
    <w:link w:val="Ttulo3Car"/>
    <w:uiPriority w:val="9"/>
    <w:semiHidden/>
    <w:unhideWhenUsed/>
    <w:qFormat/>
    <w:rsid w:val="00551D32"/>
    <w:pPr>
      <w:keepNext/>
      <w:spacing w:before="240" w:after="60"/>
      <w:outlineLvl w:val="2"/>
    </w:pPr>
    <w:rPr>
      <w:rFonts w:asciiTheme="majorHAnsi" w:eastAsiaTheme="majorEastAsia" w:hAnsiTheme="majorHAnsi" w:cstheme="majorBidi"/>
      <w:b/>
      <w:bCs/>
      <w:sz w:val="26"/>
      <w:szCs w:val="26"/>
    </w:rPr>
  </w:style>
  <w:style w:type="paragraph" w:styleId="Ttulo8">
    <w:name w:val="heading 8"/>
    <w:basedOn w:val="Normal"/>
    <w:next w:val="Normal"/>
    <w:link w:val="Ttulo8Car"/>
    <w:qFormat/>
    <w:rsid w:val="00434814"/>
    <w:pPr>
      <w:keepNext/>
      <w:tabs>
        <w:tab w:val="right" w:pos="-1440"/>
        <w:tab w:val="left" w:pos="-720"/>
        <w:tab w:val="left" w:pos="380"/>
        <w:tab w:val="left" w:leader="dot" w:pos="6237"/>
        <w:tab w:val="left" w:pos="9360"/>
        <w:tab w:val="left" w:pos="10080"/>
      </w:tabs>
      <w:suppressAutoHyphens/>
      <w:ind w:left="380"/>
      <w:jc w:val="both"/>
      <w:outlineLvl w:val="7"/>
    </w:pPr>
    <w:rPr>
      <w:rFonts w:ascii="Univers" w:hAnsi="Univers"/>
      <w:spacing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51D32"/>
    <w:rPr>
      <w:rFonts w:asciiTheme="majorHAnsi" w:eastAsiaTheme="majorEastAsia" w:hAnsiTheme="majorHAnsi" w:cstheme="majorBidi"/>
      <w:b/>
      <w:bCs/>
      <w:sz w:val="26"/>
      <w:szCs w:val="26"/>
      <w:lang w:val="es-ES_tradnl" w:eastAsia="es-ES"/>
    </w:rPr>
  </w:style>
  <w:style w:type="character" w:customStyle="1" w:styleId="Ttulo1Car">
    <w:name w:val="Título 1 Car"/>
    <w:basedOn w:val="Fuentedeprrafopredeter"/>
    <w:link w:val="Ttulo1"/>
    <w:rsid w:val="00175C0D"/>
    <w:rPr>
      <w:rFonts w:ascii="Arial" w:hAnsi="Arial"/>
      <w:b/>
      <w:spacing w:val="20"/>
      <w:sz w:val="32"/>
      <w:lang w:val="es-ES_tradnl" w:eastAsia="es-ES"/>
    </w:rPr>
  </w:style>
  <w:style w:type="character" w:customStyle="1" w:styleId="Ttulo2Car">
    <w:name w:val="Título 2 Car"/>
    <w:basedOn w:val="Fuentedeprrafopredeter"/>
    <w:link w:val="Ttulo2"/>
    <w:rsid w:val="00175C0D"/>
    <w:rPr>
      <w:rFonts w:ascii="Arial" w:hAnsi="Arial"/>
      <w:b/>
      <w:color w:val="000080"/>
      <w:spacing w:val="20"/>
      <w:sz w:val="32"/>
      <w:lang w:val="es-ES_tradnl" w:eastAsia="es-ES"/>
    </w:rPr>
  </w:style>
  <w:style w:type="character" w:customStyle="1" w:styleId="Ttulo8Car">
    <w:name w:val="Título 8 Car"/>
    <w:basedOn w:val="Fuentedeprrafopredeter"/>
    <w:link w:val="Ttulo8"/>
    <w:rsid w:val="00434814"/>
    <w:rPr>
      <w:rFonts w:ascii="Univers" w:hAnsi="Univers"/>
      <w:spacing w:val="-2"/>
      <w:sz w:val="24"/>
      <w:lang w:val="es-ES_tradnl" w:eastAsia="es-ES"/>
    </w:rPr>
  </w:style>
  <w:style w:type="paragraph" w:styleId="Encabezado">
    <w:name w:val="header"/>
    <w:basedOn w:val="Normal"/>
    <w:link w:val="EncabezadoCar"/>
    <w:rsid w:val="00434814"/>
    <w:pPr>
      <w:tabs>
        <w:tab w:val="center" w:pos="4252"/>
        <w:tab w:val="right" w:pos="8504"/>
      </w:tabs>
    </w:pPr>
    <w:rPr>
      <w:sz w:val="24"/>
      <w:szCs w:val="24"/>
      <w:lang w:val="es-ES"/>
    </w:rPr>
  </w:style>
  <w:style w:type="character" w:customStyle="1" w:styleId="EncabezadoCar">
    <w:name w:val="Encabezado Car"/>
    <w:basedOn w:val="Fuentedeprrafopredeter"/>
    <w:link w:val="Encabezado"/>
    <w:rsid w:val="00434814"/>
    <w:rPr>
      <w:sz w:val="24"/>
      <w:szCs w:val="24"/>
      <w:lang w:eastAsia="es-ES"/>
    </w:rPr>
  </w:style>
  <w:style w:type="paragraph" w:styleId="Piedepgina">
    <w:name w:val="footer"/>
    <w:basedOn w:val="Normal"/>
    <w:link w:val="PiedepginaCar"/>
    <w:rsid w:val="00434814"/>
    <w:pPr>
      <w:tabs>
        <w:tab w:val="center" w:pos="4252"/>
        <w:tab w:val="right" w:pos="8504"/>
      </w:tabs>
    </w:pPr>
    <w:rPr>
      <w:sz w:val="24"/>
      <w:szCs w:val="24"/>
      <w:lang w:val="es-ES"/>
    </w:rPr>
  </w:style>
  <w:style w:type="character" w:customStyle="1" w:styleId="PiedepginaCar">
    <w:name w:val="Pie de página Car"/>
    <w:basedOn w:val="Fuentedeprrafopredeter"/>
    <w:link w:val="Piedepgina"/>
    <w:rsid w:val="00434814"/>
    <w:rPr>
      <w:sz w:val="24"/>
      <w:szCs w:val="24"/>
      <w:lang w:eastAsia="es-ES"/>
    </w:rPr>
  </w:style>
  <w:style w:type="character" w:styleId="Hipervnculo">
    <w:name w:val="Hyperlink"/>
    <w:rsid w:val="00434814"/>
    <w:rPr>
      <w:color w:val="0000FF"/>
      <w:u w:val="single"/>
    </w:rPr>
  </w:style>
  <w:style w:type="paragraph" w:styleId="Sangradetextonormal">
    <w:name w:val="Body Text Indent"/>
    <w:basedOn w:val="Normal"/>
    <w:link w:val="Sangradetextonormal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4"/>
    </w:rPr>
  </w:style>
  <w:style w:type="character" w:customStyle="1" w:styleId="SangradetextonormalCar">
    <w:name w:val="Sangría de texto normal Car"/>
    <w:basedOn w:val="Fuentedeprrafopredeter"/>
    <w:link w:val="Sangradetextonormal"/>
    <w:rsid w:val="00434814"/>
    <w:rPr>
      <w:rFonts w:ascii="Univers" w:hAnsi="Univers"/>
      <w:spacing w:val="-2"/>
      <w:sz w:val="24"/>
      <w:lang w:val="es-ES_tradnl" w:eastAsia="es-ES"/>
    </w:rPr>
  </w:style>
  <w:style w:type="paragraph" w:styleId="Sangra2detindependiente">
    <w:name w:val="Body Text Indent 2"/>
    <w:basedOn w:val="Normal"/>
    <w:link w:val="Sangra2detindependiente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2"/>
    </w:rPr>
  </w:style>
  <w:style w:type="character" w:customStyle="1" w:styleId="Sangra2detindependienteCar">
    <w:name w:val="Sangría 2 de t. independiente Car"/>
    <w:basedOn w:val="Fuentedeprrafopredeter"/>
    <w:link w:val="Sangra2detindependiente"/>
    <w:rsid w:val="00434814"/>
    <w:rPr>
      <w:rFonts w:ascii="Univers" w:hAnsi="Univers"/>
      <w:spacing w:val="-2"/>
      <w:sz w:val="22"/>
      <w:lang w:val="es-ES_tradnl" w:eastAsia="es-ES"/>
    </w:rPr>
  </w:style>
  <w:style w:type="paragraph" w:styleId="Textoindependiente">
    <w:name w:val="Body Text"/>
    <w:basedOn w:val="Normal"/>
    <w:link w:val="TextoindependienteCar"/>
    <w:rsid w:val="00434814"/>
    <w:pPr>
      <w:spacing w:after="120"/>
    </w:pPr>
    <w:rPr>
      <w:sz w:val="24"/>
      <w:szCs w:val="24"/>
      <w:lang w:val="es-ES"/>
    </w:rPr>
  </w:style>
  <w:style w:type="character" w:customStyle="1" w:styleId="TextoindependienteCar">
    <w:name w:val="Texto independiente Car"/>
    <w:basedOn w:val="Fuentedeprrafopredeter"/>
    <w:link w:val="Textoindependiente"/>
    <w:rsid w:val="00434814"/>
    <w:rPr>
      <w:sz w:val="24"/>
      <w:szCs w:val="24"/>
      <w:lang w:eastAsia="es-ES"/>
    </w:rPr>
  </w:style>
  <w:style w:type="character" w:styleId="Nmerodepgina">
    <w:name w:val="page number"/>
    <w:basedOn w:val="Fuentedeprrafopredeter"/>
    <w:rsid w:val="00434814"/>
  </w:style>
  <w:style w:type="paragraph" w:styleId="Prrafodelista">
    <w:name w:val="List Paragraph"/>
    <w:basedOn w:val="Normal"/>
    <w:uiPriority w:val="34"/>
    <w:qFormat/>
    <w:rsid w:val="00434814"/>
    <w:pPr>
      <w:ind w:left="708"/>
    </w:pPr>
    <w:rPr>
      <w:sz w:val="24"/>
      <w:szCs w:val="24"/>
      <w:lang w:val="es-ES"/>
    </w:rPr>
  </w:style>
  <w:style w:type="paragraph" w:styleId="Textodeglobo">
    <w:name w:val="Balloon Text"/>
    <w:basedOn w:val="Normal"/>
    <w:link w:val="TextodegloboCar"/>
    <w:uiPriority w:val="99"/>
    <w:semiHidden/>
    <w:unhideWhenUsed/>
    <w:rsid w:val="00857EA3"/>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EA3"/>
    <w:rPr>
      <w:rFonts w:ascii="Tahoma" w:hAnsi="Tahoma" w:cs="Tahoma"/>
      <w:sz w:val="16"/>
      <w:szCs w:val="16"/>
      <w:lang w:val="es-ES_tradnl" w:eastAsia="es-ES"/>
    </w:rPr>
  </w:style>
  <w:style w:type="character" w:styleId="Refdecomentario">
    <w:name w:val="annotation reference"/>
    <w:basedOn w:val="Fuentedeprrafopredeter"/>
    <w:uiPriority w:val="99"/>
    <w:semiHidden/>
    <w:unhideWhenUsed/>
    <w:rsid w:val="00391576"/>
    <w:rPr>
      <w:sz w:val="16"/>
      <w:szCs w:val="16"/>
    </w:rPr>
  </w:style>
  <w:style w:type="paragraph" w:styleId="Textocomentario">
    <w:name w:val="annotation text"/>
    <w:basedOn w:val="Normal"/>
    <w:link w:val="TextocomentarioCar"/>
    <w:uiPriority w:val="99"/>
    <w:semiHidden/>
    <w:unhideWhenUsed/>
    <w:rsid w:val="00391576"/>
  </w:style>
  <w:style w:type="character" w:customStyle="1" w:styleId="TextocomentarioCar">
    <w:name w:val="Texto comentario Car"/>
    <w:basedOn w:val="Fuentedeprrafopredeter"/>
    <w:link w:val="Textocomentario"/>
    <w:uiPriority w:val="99"/>
    <w:semiHidden/>
    <w:rsid w:val="0039157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91576"/>
    <w:rPr>
      <w:b/>
      <w:bCs/>
    </w:rPr>
  </w:style>
  <w:style w:type="character" w:customStyle="1" w:styleId="AsuntodelcomentarioCar">
    <w:name w:val="Asunto del comentario Car"/>
    <w:basedOn w:val="TextocomentarioCar"/>
    <w:link w:val="Asuntodelcomentario"/>
    <w:uiPriority w:val="99"/>
    <w:semiHidden/>
    <w:rsid w:val="00391576"/>
    <w:rPr>
      <w:b/>
      <w:bCs/>
      <w:lang w:val="es-ES_tradnl" w:eastAsia="es-ES"/>
    </w:rPr>
  </w:style>
  <w:style w:type="character" w:customStyle="1" w:styleId="aounit1">
    <w:name w:val="ao_unit1"/>
    <w:basedOn w:val="Fuentedeprrafopredeter"/>
    <w:rsid w:val="00E0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034">
      <w:bodyDiv w:val="1"/>
      <w:marLeft w:val="0"/>
      <w:marRight w:val="0"/>
      <w:marTop w:val="0"/>
      <w:marBottom w:val="0"/>
      <w:divBdr>
        <w:top w:val="none" w:sz="0" w:space="0" w:color="auto"/>
        <w:left w:val="none" w:sz="0" w:space="0" w:color="auto"/>
        <w:bottom w:val="none" w:sz="0" w:space="0" w:color="auto"/>
        <w:right w:val="none" w:sz="0" w:space="0" w:color="auto"/>
      </w:divBdr>
    </w:div>
    <w:div w:id="481390207">
      <w:bodyDiv w:val="1"/>
      <w:marLeft w:val="0"/>
      <w:marRight w:val="0"/>
      <w:marTop w:val="0"/>
      <w:marBottom w:val="0"/>
      <w:divBdr>
        <w:top w:val="none" w:sz="0" w:space="0" w:color="auto"/>
        <w:left w:val="none" w:sz="0" w:space="0" w:color="auto"/>
        <w:bottom w:val="none" w:sz="0" w:space="0" w:color="auto"/>
        <w:right w:val="none" w:sz="0" w:space="0" w:color="auto"/>
      </w:divBdr>
    </w:div>
    <w:div w:id="642388329">
      <w:bodyDiv w:val="1"/>
      <w:marLeft w:val="0"/>
      <w:marRight w:val="0"/>
      <w:marTop w:val="0"/>
      <w:marBottom w:val="0"/>
      <w:divBdr>
        <w:top w:val="none" w:sz="0" w:space="0" w:color="auto"/>
        <w:left w:val="none" w:sz="0" w:space="0" w:color="auto"/>
        <w:bottom w:val="none" w:sz="0" w:space="0" w:color="auto"/>
        <w:right w:val="none" w:sz="0" w:space="0" w:color="auto"/>
      </w:divBdr>
    </w:div>
    <w:div w:id="662321813">
      <w:bodyDiv w:val="1"/>
      <w:marLeft w:val="0"/>
      <w:marRight w:val="0"/>
      <w:marTop w:val="0"/>
      <w:marBottom w:val="0"/>
      <w:divBdr>
        <w:top w:val="none" w:sz="0" w:space="0" w:color="auto"/>
        <w:left w:val="none" w:sz="0" w:space="0" w:color="auto"/>
        <w:bottom w:val="none" w:sz="0" w:space="0" w:color="auto"/>
        <w:right w:val="none" w:sz="0" w:space="0" w:color="auto"/>
      </w:divBdr>
    </w:div>
    <w:div w:id="772093675">
      <w:bodyDiv w:val="1"/>
      <w:marLeft w:val="0"/>
      <w:marRight w:val="0"/>
      <w:marTop w:val="0"/>
      <w:marBottom w:val="0"/>
      <w:divBdr>
        <w:top w:val="none" w:sz="0" w:space="0" w:color="auto"/>
        <w:left w:val="none" w:sz="0" w:space="0" w:color="auto"/>
        <w:bottom w:val="none" w:sz="0" w:space="0" w:color="auto"/>
        <w:right w:val="none" w:sz="0" w:space="0" w:color="auto"/>
      </w:divBdr>
    </w:div>
    <w:div w:id="1057047650">
      <w:bodyDiv w:val="1"/>
      <w:marLeft w:val="0"/>
      <w:marRight w:val="0"/>
      <w:marTop w:val="0"/>
      <w:marBottom w:val="0"/>
      <w:divBdr>
        <w:top w:val="none" w:sz="0" w:space="0" w:color="auto"/>
        <w:left w:val="none" w:sz="0" w:space="0" w:color="auto"/>
        <w:bottom w:val="none" w:sz="0" w:space="0" w:color="auto"/>
        <w:right w:val="none" w:sz="0" w:space="0" w:color="auto"/>
      </w:divBdr>
    </w:div>
    <w:div w:id="1283339090">
      <w:bodyDiv w:val="1"/>
      <w:marLeft w:val="0"/>
      <w:marRight w:val="0"/>
      <w:marTop w:val="0"/>
      <w:marBottom w:val="0"/>
      <w:divBdr>
        <w:top w:val="none" w:sz="0" w:space="0" w:color="auto"/>
        <w:left w:val="none" w:sz="0" w:space="0" w:color="auto"/>
        <w:bottom w:val="none" w:sz="0" w:space="0" w:color="auto"/>
        <w:right w:val="none" w:sz="0" w:space="0" w:color="auto"/>
      </w:divBdr>
    </w:div>
    <w:div w:id="1297684623">
      <w:bodyDiv w:val="1"/>
      <w:marLeft w:val="0"/>
      <w:marRight w:val="0"/>
      <w:marTop w:val="0"/>
      <w:marBottom w:val="0"/>
      <w:divBdr>
        <w:top w:val="none" w:sz="0" w:space="0" w:color="auto"/>
        <w:left w:val="none" w:sz="0" w:space="0" w:color="auto"/>
        <w:bottom w:val="none" w:sz="0" w:space="0" w:color="auto"/>
        <w:right w:val="none" w:sz="0" w:space="0" w:color="auto"/>
      </w:divBdr>
    </w:div>
    <w:div w:id="1331980532">
      <w:bodyDiv w:val="1"/>
      <w:marLeft w:val="0"/>
      <w:marRight w:val="0"/>
      <w:marTop w:val="0"/>
      <w:marBottom w:val="0"/>
      <w:divBdr>
        <w:top w:val="none" w:sz="0" w:space="0" w:color="auto"/>
        <w:left w:val="none" w:sz="0" w:space="0" w:color="auto"/>
        <w:bottom w:val="none" w:sz="0" w:space="0" w:color="auto"/>
        <w:right w:val="none" w:sz="0" w:space="0" w:color="auto"/>
      </w:divBdr>
    </w:div>
    <w:div w:id="1972400399">
      <w:bodyDiv w:val="1"/>
      <w:marLeft w:val="0"/>
      <w:marRight w:val="0"/>
      <w:marTop w:val="0"/>
      <w:marBottom w:val="0"/>
      <w:divBdr>
        <w:top w:val="none" w:sz="0" w:space="0" w:color="auto"/>
        <w:left w:val="none" w:sz="0" w:space="0" w:color="auto"/>
        <w:bottom w:val="none" w:sz="0" w:space="0" w:color="auto"/>
        <w:right w:val="none" w:sz="0" w:space="0" w:color="auto"/>
      </w:divBdr>
    </w:div>
    <w:div w:id="2062634903">
      <w:bodyDiv w:val="1"/>
      <w:marLeft w:val="0"/>
      <w:marRight w:val="0"/>
      <w:marTop w:val="0"/>
      <w:marBottom w:val="0"/>
      <w:divBdr>
        <w:top w:val="none" w:sz="0" w:space="0" w:color="auto"/>
        <w:left w:val="none" w:sz="0" w:space="0" w:color="auto"/>
        <w:bottom w:val="none" w:sz="0" w:space="0" w:color="auto"/>
        <w:right w:val="none" w:sz="0" w:space="0" w:color="auto"/>
      </w:divBdr>
    </w:div>
    <w:div w:id="2130473183">
      <w:bodyDiv w:val="1"/>
      <w:marLeft w:val="0"/>
      <w:marRight w:val="0"/>
      <w:marTop w:val="0"/>
      <w:marBottom w:val="0"/>
      <w:divBdr>
        <w:top w:val="none" w:sz="0" w:space="0" w:color="auto"/>
        <w:left w:val="none" w:sz="0" w:space="0" w:color="auto"/>
        <w:bottom w:val="none" w:sz="0" w:space="0" w:color="auto"/>
        <w:right w:val="none" w:sz="0" w:space="0" w:color="auto"/>
      </w:divBdr>
    </w:div>
    <w:div w:id="21466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iosocio@caja-ingenieros.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de.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ja-ingenieros.es" TargetMode="External"/><Relationship Id="rId14" Type="http://schemas.openxmlformats.org/officeDocument/2006/relationships/hyperlink" Target="mailto:servicioatencionsocio@caja-ingeniero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2BA0-9331-49C9-BB48-E423D385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4941</Words>
  <Characters>27177</Characters>
  <Application>Microsoft Office Word</Application>
  <DocSecurity>8</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Cliente</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Garcia</dc:creator>
  <cp:lastModifiedBy>Monica Garcia</cp:lastModifiedBy>
  <cp:revision>19</cp:revision>
  <cp:lastPrinted>2017-04-12T07:48:00Z</cp:lastPrinted>
  <dcterms:created xsi:type="dcterms:W3CDTF">2017-07-04T10:08:00Z</dcterms:created>
  <dcterms:modified xsi:type="dcterms:W3CDTF">2018-05-07T09:08:00Z</dcterms:modified>
</cp:coreProperties>
</file>